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55D6" w:rsidRDefault="006C7415">
      <w:pPr>
        <w:tabs>
          <w:tab w:val="right" w:pos="10080"/>
        </w:tabs>
        <w:spacing w:after="720"/>
      </w:pPr>
      <w:bookmarkStart w:id="0" w:name="_GoBack"/>
      <w:bookmarkEnd w:id="0"/>
      <w:r>
        <w:rPr>
          <w:noProof/>
        </w:rPr>
        <w:drawing>
          <wp:inline distT="0" distB="0" distL="0" distR="0">
            <wp:extent cx="2197936" cy="566928"/>
            <wp:effectExtent l="0" t="0" r="0" b="0"/>
            <wp:docPr id="9001" name="New Hampshire Area Health Education Center logo" descr="New Hampshire Area Health Education Cen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New Hampshire Area Health Education Center logo"/>
                    <pic:cNvPicPr/>
                  </pic:nvPicPr>
                  <pic:blipFill>
                    <a:blip r:embed="rId7"/>
                    <a:stretch>
                      <a:fillRect/>
                    </a:stretch>
                  </pic:blipFill>
                  <pic:spPr>
                    <a:xfrm>
                      <a:off x="0" y="0"/>
                      <a:ext cx="2197936" cy="566928"/>
                    </a:xfrm>
                    <a:prstGeom prst="rect">
                      <a:avLst/>
                    </a:prstGeom>
                  </pic:spPr>
                </pic:pic>
              </a:graphicData>
            </a:graphic>
          </wp:inline>
        </w:drawing>
      </w:r>
      <w:r>
        <w:tab/>
      </w:r>
      <w:r>
        <w:rPr>
          <w:noProof/>
        </w:rPr>
        <w:drawing>
          <wp:inline distT="0" distB="0" distL="0" distR="0">
            <wp:extent cx="1664375" cy="566928"/>
            <wp:effectExtent l="0" t="0" r="0" b="0"/>
            <wp:docPr id="9002" name="Dartmouth Geisel School of Medicine logo" descr="Dartmouth Geisel School of Medici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 name="Dartmouth Geisel School of Medicine logo"/>
                    <pic:cNvPicPr/>
                  </pic:nvPicPr>
                  <pic:blipFill>
                    <a:blip r:embed="rId8"/>
                    <a:stretch>
                      <a:fillRect/>
                    </a:stretch>
                  </pic:blipFill>
                  <pic:spPr>
                    <a:xfrm>
                      <a:off x="0" y="0"/>
                      <a:ext cx="1664375" cy="566928"/>
                    </a:xfrm>
                    <a:prstGeom prst="rect">
                      <a:avLst/>
                    </a:prstGeom>
                  </pic:spPr>
                </pic:pic>
              </a:graphicData>
            </a:graphic>
          </wp:inline>
        </w:drawing>
      </w:r>
    </w:p>
    <w:p w:rsidR="00BE55D6" w:rsidRDefault="006C7415">
      <w:pPr>
        <w:spacing w:before="480" w:after="60"/>
      </w:pPr>
      <w:r>
        <w:rPr>
          <w:b/>
          <w:bCs/>
          <w:color w:val="00693E"/>
          <w:spacing w:val="30"/>
          <w:sz w:val="22"/>
          <w:szCs w:val="22"/>
        </w:rPr>
        <w:t>NEW HAMPSHIRE AHEC PROGRAM OFFICE</w:t>
      </w:r>
    </w:p>
    <w:p w:rsidR="00BE55D6" w:rsidRDefault="006C7415">
      <w:pPr>
        <w:spacing w:after="400"/>
      </w:pPr>
      <w:r>
        <w:rPr>
          <w:color w:val="5A5A5A"/>
        </w:rPr>
        <w:t>Geisel School of Medicine at Dartmouth</w:t>
      </w:r>
    </w:p>
    <w:p w:rsidR="00BE55D6" w:rsidRDefault="006C7415">
      <w:pPr>
        <w:spacing w:after="100"/>
      </w:pPr>
      <w:r>
        <w:rPr>
          <w:b/>
          <w:bCs/>
          <w:color w:val="12312B"/>
          <w:sz w:val="52"/>
          <w:szCs w:val="52"/>
        </w:rPr>
        <w:t>Youth Pipeline Programs Impact Intern</w:t>
      </w:r>
    </w:p>
    <w:p w:rsidR="00BE55D6" w:rsidRDefault="006C7415">
      <w:pPr>
        <w:pBdr>
          <w:bottom w:val="single" w:sz="12" w:space="10" w:color="00693E"/>
        </w:pBdr>
        <w:spacing w:after="500"/>
      </w:pPr>
      <w:r>
        <w:rPr>
          <w:color w:val="5A5A5A"/>
          <w:sz w:val="26"/>
          <w:szCs w:val="26"/>
        </w:rPr>
        <w:t>Impact Intern Position Description</w:t>
      </w:r>
    </w:p>
    <w:p w:rsidR="00BE55D6" w:rsidRDefault="006C7415">
      <w:pPr>
        <w:spacing w:after="60" w:line="276" w:lineRule="auto"/>
      </w:pPr>
      <w:r>
        <w:rPr>
          <w:b/>
          <w:bCs/>
          <w:color w:val="12312B"/>
          <w:sz w:val="22"/>
          <w:szCs w:val="22"/>
        </w:rPr>
        <w:t>Academic Year 2026–2027</w:t>
      </w:r>
    </w:p>
    <w:p w:rsidR="00BE55D6" w:rsidRDefault="006C7415">
      <w:pPr>
        <w:spacing w:after="40" w:line="276" w:lineRule="auto"/>
      </w:pPr>
      <w:r>
        <w:rPr>
          <w:color w:val="5A5A5A"/>
          <w:sz w:val="20"/>
          <w:szCs w:val="20"/>
        </w:rPr>
        <w:t>Cooperative Agreement U77HP03627 · Health Resources and Services Administration</w:t>
      </w:r>
    </w:p>
    <w:p w:rsidR="00BE55D6" w:rsidRDefault="006C7415">
      <w:pPr>
        <w:spacing w:after="40" w:line="276" w:lineRule="auto"/>
      </w:pPr>
      <w:r>
        <w:rPr>
          <w:color w:val="5A5A5A"/>
          <w:sz w:val="20"/>
          <w:szCs w:val="20"/>
        </w:rPr>
        <w:t>Bureau of Health Workforce · Area Health Education Centers Program</w:t>
      </w:r>
    </w:p>
    <w:p w:rsidR="00BE55D6" w:rsidRDefault="006C7415">
      <w:pPr>
        <w:spacing w:after="600" w:line="276" w:lineRule="auto"/>
      </w:pPr>
      <w:r>
        <w:rPr>
          <w:color w:val="5A5A5A"/>
          <w:sz w:val="20"/>
          <w:szCs w:val="20"/>
        </w:rPr>
        <w:t>Trustees of Dartmouth College</w:t>
      </w:r>
    </w:p>
    <w:tbl>
      <w:tblPr>
        <w:tblW w:w="10080" w:type="dxa"/>
        <w:tblBorders>
          <w:top w:val="single" w:sz="4" w:space="0" w:color="C9D6CE"/>
          <w:left w:val="none" w:sz="0" w:space="0" w:color="FFFFFF"/>
          <w:bottom w:val="single" w:sz="4" w:space="0" w:color="C9D6CE"/>
          <w:right w:val="none" w:sz="0" w:space="0" w:color="FFFFFF"/>
          <w:insideH w:val="single" w:sz="4" w:space="0" w:color="DCE5DF"/>
          <w:insideV w:val="none" w:sz="0" w:space="0" w:color="FFFFFF"/>
        </w:tblBorders>
        <w:tblCellMar>
          <w:left w:w="10" w:type="dxa"/>
          <w:right w:w="10" w:type="dxa"/>
        </w:tblCellMar>
        <w:tblLook w:val="0000" w:firstRow="0" w:lastRow="0" w:firstColumn="0" w:lastColumn="0" w:noHBand="0" w:noVBand="0"/>
      </w:tblPr>
      <w:tblGrid>
        <w:gridCol w:w="2600"/>
        <w:gridCol w:w="7480"/>
      </w:tblGrid>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Placement portfolio</w:t>
            </w:r>
          </w:p>
        </w:tc>
        <w:tc>
          <w:tcPr>
            <w:tcW w:w="7480" w:type="dxa"/>
            <w:tcMar>
              <w:top w:w="90" w:type="dxa"/>
              <w:left w:w="130" w:type="dxa"/>
              <w:bottom w:w="90" w:type="dxa"/>
              <w:right w:w="130" w:type="dxa"/>
            </w:tcMar>
          </w:tcPr>
          <w:p w:rsidR="00BE55D6" w:rsidRDefault="006C7415">
            <w:pPr>
              <w:spacing w:line="264" w:lineRule="auto"/>
            </w:pPr>
            <w:r>
              <w:rPr>
                <w:sz w:val="19"/>
                <w:szCs w:val="19"/>
              </w:rPr>
              <w:t>School and community outreach support, event coordination, and materials preparation for high school health career exposure</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Supervising position</w:t>
            </w:r>
          </w:p>
        </w:tc>
        <w:tc>
          <w:tcPr>
            <w:tcW w:w="7480" w:type="dxa"/>
            <w:tcMar>
              <w:top w:w="90" w:type="dxa"/>
              <w:left w:w="130" w:type="dxa"/>
              <w:bottom w:w="90" w:type="dxa"/>
              <w:right w:w="130" w:type="dxa"/>
            </w:tcMar>
          </w:tcPr>
          <w:p w:rsidR="00BE55D6" w:rsidRDefault="006C7415">
            <w:pPr>
              <w:spacing w:line="264" w:lineRule="auto"/>
            </w:pPr>
            <w:r>
              <w:rPr>
                <w:sz w:val="19"/>
                <w:szCs w:val="19"/>
              </w:rPr>
              <w:t>Program Coordinator</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Basis</w:t>
            </w:r>
          </w:p>
        </w:tc>
        <w:tc>
          <w:tcPr>
            <w:tcW w:w="7480" w:type="dxa"/>
            <w:tcMar>
              <w:top w:w="90" w:type="dxa"/>
              <w:left w:w="130" w:type="dxa"/>
              <w:bottom w:w="90" w:type="dxa"/>
              <w:right w:w="130" w:type="dxa"/>
            </w:tcMar>
          </w:tcPr>
          <w:p w:rsidR="00BE55D6" w:rsidRDefault="006C7415">
            <w:pPr>
              <w:spacing w:line="264" w:lineRule="auto"/>
            </w:pPr>
            <w:r>
              <w:rPr>
                <w:sz w:val="19"/>
                <w:szCs w:val="19"/>
              </w:rPr>
              <w:t>Uncompensated experiential learning placement; not an employment relationship</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Term of service</w:t>
            </w:r>
          </w:p>
        </w:tc>
        <w:tc>
          <w:tcPr>
            <w:tcW w:w="7480" w:type="dxa"/>
            <w:tcMar>
              <w:top w:w="90" w:type="dxa"/>
              <w:left w:w="130" w:type="dxa"/>
              <w:bottom w:w="90" w:type="dxa"/>
              <w:right w:w="130" w:type="dxa"/>
            </w:tcMar>
          </w:tcPr>
          <w:p w:rsidR="00BE55D6" w:rsidRDefault="006C7415">
            <w:pPr>
              <w:spacing w:line="264" w:lineRule="auto"/>
            </w:pPr>
            <w:r>
              <w:rPr>
                <w:sz w:val="19"/>
                <w:szCs w:val="19"/>
              </w:rPr>
              <w:t>Nine, twelve, or eighteen months, selected at the outset and fixed in the placement agreement</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Recommended term</w:t>
            </w:r>
          </w:p>
        </w:tc>
        <w:tc>
          <w:tcPr>
            <w:tcW w:w="7480" w:type="dxa"/>
            <w:tcMar>
              <w:top w:w="90" w:type="dxa"/>
              <w:left w:w="130" w:type="dxa"/>
              <w:bottom w:w="90" w:type="dxa"/>
              <w:right w:w="130" w:type="dxa"/>
            </w:tcMar>
          </w:tcPr>
          <w:p w:rsidR="00BE55D6" w:rsidRDefault="006C7415">
            <w:pPr>
              <w:spacing w:line="264" w:lineRule="auto"/>
            </w:pPr>
            <w:r>
              <w:rPr>
                <w:sz w:val="19"/>
                <w:szCs w:val="19"/>
              </w:rPr>
              <w:t>Nine or twelve months. Outreach concentrates between October and March, which a nine-month term covers fully. Twelve months adds the yield analysis and the strategy recommendation for the following year.</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Effort</w:t>
            </w:r>
          </w:p>
        </w:tc>
        <w:tc>
          <w:tcPr>
            <w:tcW w:w="7480" w:type="dxa"/>
            <w:tcMar>
              <w:top w:w="90" w:type="dxa"/>
              <w:left w:w="130" w:type="dxa"/>
              <w:bottom w:w="90" w:type="dxa"/>
              <w:right w:w="130" w:type="dxa"/>
            </w:tcMar>
          </w:tcPr>
          <w:p w:rsidR="00BE55D6" w:rsidRDefault="006C7415">
            <w:pPr>
              <w:spacing w:line="264" w:lineRule="auto"/>
            </w:pPr>
            <w:r>
              <w:rPr>
                <w:sz w:val="19"/>
                <w:szCs w:val="19"/>
              </w:rPr>
              <w:t>8–10 hours per week, scheduled around the intern's academic obligations</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Location</w:t>
            </w:r>
          </w:p>
        </w:tc>
        <w:tc>
          <w:tcPr>
            <w:tcW w:w="7480" w:type="dxa"/>
            <w:tcMar>
              <w:top w:w="90" w:type="dxa"/>
              <w:left w:w="130" w:type="dxa"/>
              <w:bottom w:w="90" w:type="dxa"/>
              <w:right w:w="130" w:type="dxa"/>
            </w:tcMar>
          </w:tcPr>
          <w:p w:rsidR="00BE55D6" w:rsidRDefault="006C7415">
            <w:pPr>
              <w:spacing w:line="264" w:lineRule="auto"/>
            </w:pPr>
            <w:r>
              <w:rPr>
                <w:sz w:val="19"/>
                <w:szCs w:val="19"/>
              </w:rPr>
              <w:t>Hybrid. Program Office, Geisel School of Medicine at Dartmouth, with remote work as approved</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Eligible</w:t>
            </w:r>
          </w:p>
        </w:tc>
        <w:tc>
          <w:tcPr>
            <w:tcW w:w="7480" w:type="dxa"/>
            <w:tcMar>
              <w:top w:w="90" w:type="dxa"/>
              <w:left w:w="130" w:type="dxa"/>
              <w:bottom w:w="90" w:type="dxa"/>
              <w:right w:w="130" w:type="dxa"/>
            </w:tcMar>
          </w:tcPr>
          <w:p w:rsidR="00BE55D6" w:rsidRDefault="006C7415">
            <w:pPr>
              <w:spacing w:line="264" w:lineRule="auto"/>
            </w:pPr>
            <w:r>
              <w:rPr>
                <w:sz w:val="19"/>
                <w:szCs w:val="19"/>
              </w:rPr>
              <w:t>Graduate and professional students and recent graduates (within two years of degree completion)</w:t>
            </w:r>
          </w:p>
        </w:tc>
      </w:tr>
    </w:tbl>
    <w:p w:rsidR="00BE55D6" w:rsidRDefault="006C7415">
      <w:pPr>
        <w:pStyle w:val="Heading2"/>
        <w:spacing w:before="260" w:after="120"/>
      </w:pPr>
      <w:r>
        <w:rPr>
          <w:b/>
          <w:bCs/>
          <w:color w:val="12312B"/>
          <w:sz w:val="24"/>
          <w:szCs w:val="24"/>
        </w:rPr>
        <w:t>Position Summary</w:t>
      </w:r>
    </w:p>
    <w:p w:rsidR="00C9409B" w:rsidRDefault="00C9409B" w:rsidP="00C9409B">
      <w:pPr>
        <w:spacing w:after="140" w:line="276" w:lineRule="auto"/>
      </w:pPr>
      <w:r>
        <w:t>The authorizing statute calls for a youth program that introduces high school students to health careers, with particular attention to careers in public health. The Youth Pipeline Programs Impact Intern supports the outreach and recruitment work that connects students with these opportunities. This work is an important part of building a more diverse future health workforce.</w:t>
      </w:r>
    </w:p>
    <w:p w:rsidR="00C9409B" w:rsidRDefault="00C9409B" w:rsidP="00C9409B">
      <w:pPr>
        <w:spacing w:after="140" w:line="276" w:lineRule="auto"/>
      </w:pPr>
      <w:r>
        <w:lastRenderedPageBreak/>
        <w:t>The HCID placement focuses on delivering a residential program for students who have already entered the pipeline. The Youth Pipeline placement focuses on expanding the pipeline itself. This includes building relationships with school counselors, educators, and community organizations across New Hampshire, with attention to rural communities and students historically underrepresented in the health professions. It also includes the outreach materials, career fairs, and information sessions that may be a student’s first introduction to a career in health.</w:t>
      </w:r>
    </w:p>
    <w:p w:rsidR="00BE55D6" w:rsidRDefault="006C7415" w:rsidP="00C9409B">
      <w:pPr>
        <w:spacing w:after="140" w:line="276" w:lineRule="auto"/>
      </w:pPr>
      <w:r>
        <w:t>This placement suits someone interested in health equity, educational access, community outreach, or recruitment strategy. The intern should be comfortable initiating contact with people who have not asked to hear from the program, and persistent enough to follow up when a first message goes unanswered.</w:t>
      </w:r>
    </w:p>
    <w:p w:rsidR="00BE55D6" w:rsidRDefault="006C7415">
      <w:pPr>
        <w:pStyle w:val="Heading2"/>
        <w:spacing w:before="260" w:after="120"/>
      </w:pPr>
      <w:r>
        <w:rPr>
          <w:b/>
          <w:bCs/>
          <w:color w:val="12312B"/>
          <w:sz w:val="24"/>
          <w:szCs w:val="24"/>
        </w:rPr>
        <w:t>Responsibilities</w:t>
      </w:r>
    </w:p>
    <w:p w:rsidR="00BE55D6" w:rsidRDefault="006C7415">
      <w:pPr>
        <w:pStyle w:val="ListParagraph"/>
        <w:numPr>
          <w:ilvl w:val="0"/>
          <w:numId w:val="2"/>
        </w:numPr>
        <w:spacing w:after="70" w:line="276" w:lineRule="auto"/>
      </w:pPr>
      <w:r>
        <w:t>Maintain and expand the outreach contact list of high schools, guidance and college access counselors, community organizations, and youth-serving programs across New Hampshire.</w:t>
      </w:r>
    </w:p>
    <w:p w:rsidR="00BE55D6" w:rsidRDefault="006C7415">
      <w:pPr>
        <w:pStyle w:val="ListParagraph"/>
        <w:numPr>
          <w:ilvl w:val="0"/>
          <w:numId w:val="2"/>
        </w:numPr>
        <w:spacing w:after="70" w:line="276" w:lineRule="auto"/>
      </w:pPr>
      <w:r>
        <w:t>Support targeted outreach to rural districts and to schools serving students historically underrepresented in the health professions.</w:t>
      </w:r>
    </w:p>
    <w:p w:rsidR="00BE55D6" w:rsidRDefault="006C7415">
      <w:pPr>
        <w:pStyle w:val="ListParagraph"/>
        <w:numPr>
          <w:ilvl w:val="0"/>
          <w:numId w:val="2"/>
        </w:numPr>
        <w:spacing w:after="70" w:line="276" w:lineRule="auto"/>
      </w:pPr>
      <w:r>
        <w:t>Draft and prepare recruitment materials, including flyers, digital content, counselor-facing summaries, and family-facing information.</w:t>
      </w:r>
    </w:p>
    <w:p w:rsidR="00BE55D6" w:rsidRDefault="006C7415">
      <w:pPr>
        <w:pStyle w:val="ListParagraph"/>
        <w:numPr>
          <w:ilvl w:val="0"/>
          <w:numId w:val="2"/>
        </w:numPr>
        <w:spacing w:after="70" w:line="276" w:lineRule="auto"/>
      </w:pPr>
      <w:r>
        <w:t>Coordinate logistics for career fairs, school visits, virtual information sessions, and community events, including registration, materials, and travel arrangements.</w:t>
      </w:r>
    </w:p>
    <w:p w:rsidR="00BE55D6" w:rsidRDefault="006C7415">
      <w:pPr>
        <w:pStyle w:val="ListParagraph"/>
        <w:numPr>
          <w:ilvl w:val="0"/>
          <w:numId w:val="2"/>
        </w:numPr>
        <w:spacing w:after="70" w:line="276" w:lineRule="auto"/>
      </w:pPr>
      <w:r>
        <w:t>Support presentation delivery at outreach events alongside a professional staff member.</w:t>
      </w:r>
    </w:p>
    <w:p w:rsidR="00BE55D6" w:rsidRDefault="006C7415">
      <w:pPr>
        <w:pStyle w:val="ListParagraph"/>
        <w:numPr>
          <w:ilvl w:val="0"/>
          <w:numId w:val="2"/>
        </w:numPr>
        <w:spacing w:after="70" w:line="276" w:lineRule="auto"/>
      </w:pPr>
      <w:r>
        <w:t>Track outreach activity and applicant source, and analyze which channels produce applications from priority districts and communities.</w:t>
      </w:r>
    </w:p>
    <w:p w:rsidR="00BE55D6" w:rsidRDefault="006C7415">
      <w:pPr>
        <w:pStyle w:val="ListParagraph"/>
        <w:numPr>
          <w:ilvl w:val="0"/>
          <w:numId w:val="2"/>
        </w:numPr>
        <w:spacing w:after="70" w:line="276" w:lineRule="auto"/>
      </w:pPr>
      <w:r>
        <w:t>Support the connection between pipeline participants and the wider AHEC pathway, including AHEC Scholars eligibility information provided at the point of high school graduation.</w:t>
      </w:r>
    </w:p>
    <w:p w:rsidR="00BE55D6" w:rsidRDefault="006C7415">
      <w:pPr>
        <w:pStyle w:val="ListParagraph"/>
        <w:numPr>
          <w:ilvl w:val="0"/>
          <w:numId w:val="2"/>
        </w:numPr>
        <w:spacing w:after="70" w:line="276" w:lineRule="auto"/>
      </w:pPr>
      <w:r>
        <w:t>Assist with outcome tracking that follows pipeline participants beyond a single program experience.</w:t>
      </w:r>
    </w:p>
    <w:p w:rsidR="00BE55D6" w:rsidRDefault="006C7415">
      <w:pPr>
        <w:pStyle w:val="ListParagraph"/>
        <w:numPr>
          <w:ilvl w:val="0"/>
          <w:numId w:val="2"/>
        </w:numPr>
        <w:spacing w:after="70" w:line="276" w:lineRule="auto"/>
      </w:pPr>
      <w:r>
        <w:t>Coordinate with the two regional centers on outreach in their regions so that statewide and regional efforts reinforce rather than duplicate one another.</w:t>
      </w:r>
    </w:p>
    <w:p w:rsidR="00BE55D6" w:rsidRDefault="006C7415">
      <w:pPr>
        <w:pStyle w:val="Heading2"/>
        <w:spacing w:before="260" w:after="120"/>
      </w:pPr>
      <w:r>
        <w:rPr>
          <w:b/>
          <w:bCs/>
          <w:color w:val="12312B"/>
          <w:sz w:val="24"/>
          <w:szCs w:val="24"/>
        </w:rPr>
        <w:t>Representative Deliverables</w:t>
      </w:r>
    </w:p>
    <w:p w:rsidR="00BE55D6" w:rsidRDefault="006C7415">
      <w:pPr>
        <w:spacing w:after="120" w:line="276" w:lineRule="auto"/>
      </w:pPr>
      <w:r>
        <w:t>Each placement produces work the intern can name and describe when applying for positions or fellowships. Deliverables are agreed at the start of the term and reviewed by the supervising position before they enter any program record.</w:t>
      </w:r>
    </w:p>
    <w:p w:rsidR="00BE55D6" w:rsidRDefault="006C7415">
      <w:pPr>
        <w:pStyle w:val="ListParagraph"/>
        <w:numPr>
          <w:ilvl w:val="0"/>
          <w:numId w:val="2"/>
        </w:numPr>
        <w:spacing w:after="70" w:line="276" w:lineRule="auto"/>
      </w:pPr>
      <w:r>
        <w:t>An updated statewide outreach contact database with documented engagement history.</w:t>
      </w:r>
    </w:p>
    <w:p w:rsidR="00BE55D6" w:rsidRDefault="006C7415">
      <w:pPr>
        <w:pStyle w:val="ListParagraph"/>
        <w:numPr>
          <w:ilvl w:val="0"/>
          <w:numId w:val="2"/>
        </w:numPr>
        <w:spacing w:after="70" w:line="276" w:lineRule="auto"/>
      </w:pPr>
      <w:r>
        <w:t>An outreach activity and yield analysis identifying which channels reach priority districts.</w:t>
      </w:r>
    </w:p>
    <w:p w:rsidR="00633CDD" w:rsidRDefault="006C7415" w:rsidP="00633CDD">
      <w:pPr>
        <w:pStyle w:val="ListParagraph"/>
        <w:numPr>
          <w:ilvl w:val="0"/>
          <w:numId w:val="2"/>
        </w:numPr>
        <w:spacing w:after="70" w:line="276" w:lineRule="auto"/>
      </w:pPr>
      <w:r>
        <w:t>A written recommendation for the following year's recruitment strategy.</w:t>
      </w:r>
    </w:p>
    <w:p w:rsidR="00633CDD" w:rsidRPr="00633CDD" w:rsidRDefault="00633CDD" w:rsidP="00633CDD">
      <w:pPr>
        <w:pStyle w:val="ListParagraph"/>
        <w:numPr>
          <w:ilvl w:val="0"/>
          <w:numId w:val="2"/>
        </w:numPr>
        <w:spacing w:after="70" w:line="276" w:lineRule="auto"/>
      </w:pPr>
      <w:r>
        <w:rPr>
          <w:rFonts w:asciiTheme="minorHAnsi" w:eastAsia="Times New Roman" w:hAnsiTheme="minorHAnsi" w:cstheme="minorHAnsi"/>
          <w:color w:val="auto"/>
        </w:rPr>
        <w:t>Maintain and update a statewide outreach and recruitment contact list of schools, counselors, educators, and community organizations.</w:t>
      </w:r>
    </w:p>
    <w:p w:rsidR="00633CDD" w:rsidRPr="00633CDD" w:rsidRDefault="00633CDD" w:rsidP="00633CDD">
      <w:pPr>
        <w:pStyle w:val="ListParagraph"/>
        <w:numPr>
          <w:ilvl w:val="0"/>
          <w:numId w:val="2"/>
        </w:numPr>
        <w:spacing w:after="70" w:line="276" w:lineRule="auto"/>
      </w:pPr>
      <w:r>
        <w:rPr>
          <w:rFonts w:asciiTheme="minorHAnsi" w:eastAsia="Times New Roman" w:hAnsiTheme="minorHAnsi" w:cstheme="minorHAnsi"/>
          <w:color w:val="auto"/>
        </w:rPr>
        <w:t>Support outreach to schools and community partners, including scheduling and coordinating recruitment activities.</w:t>
      </w:r>
    </w:p>
    <w:p w:rsidR="00633CDD" w:rsidRPr="00633CDD" w:rsidRDefault="00633CDD" w:rsidP="00633CDD">
      <w:pPr>
        <w:pStyle w:val="ListParagraph"/>
        <w:numPr>
          <w:ilvl w:val="0"/>
          <w:numId w:val="2"/>
        </w:numPr>
        <w:spacing w:after="70" w:line="276" w:lineRule="auto"/>
      </w:pPr>
      <w:r>
        <w:rPr>
          <w:rFonts w:asciiTheme="minorHAnsi" w:eastAsia="Times New Roman" w:hAnsiTheme="minorHAnsi" w:cstheme="minorHAnsi"/>
          <w:color w:val="auto"/>
        </w:rPr>
        <w:t>Document outreach activities and identify opportunities to strengthen engagement with rural communities and students historically underrepresented in the health professions.</w:t>
      </w:r>
    </w:p>
    <w:p w:rsidR="00633CDD" w:rsidRDefault="00633CDD" w:rsidP="00633CDD">
      <w:pPr>
        <w:pStyle w:val="ListParagraph"/>
        <w:numPr>
          <w:ilvl w:val="0"/>
          <w:numId w:val="2"/>
        </w:numPr>
        <w:spacing w:after="70" w:line="276" w:lineRule="auto"/>
      </w:pPr>
      <w:r>
        <w:rPr>
          <w:rFonts w:asciiTheme="minorHAnsi" w:eastAsia="Times New Roman" w:hAnsiTheme="minorHAnsi" w:cstheme="minorHAnsi"/>
          <w:color w:val="auto"/>
        </w:rPr>
        <w:t xml:space="preserve"> Contribute to periodic summaries of outreach reach, participation, and emerging recruitment needs.</w:t>
      </w:r>
    </w:p>
    <w:p w:rsidR="00BE55D6" w:rsidRDefault="006C7415">
      <w:pPr>
        <w:pStyle w:val="Heading2"/>
        <w:spacing w:before="260" w:after="120"/>
      </w:pPr>
      <w:r>
        <w:rPr>
          <w:b/>
          <w:bCs/>
          <w:color w:val="12312B"/>
          <w:sz w:val="24"/>
          <w:szCs w:val="24"/>
        </w:rPr>
        <w:lastRenderedPageBreak/>
        <w:t>Learning Objectives</w:t>
      </w:r>
    </w:p>
    <w:p w:rsidR="00BE55D6" w:rsidRDefault="006C7415">
      <w:pPr>
        <w:spacing w:after="120" w:line="276" w:lineRule="auto"/>
      </w:pPr>
      <w:r>
        <w:t>By the conclusion of the placement, the intern will be able to:</w:t>
      </w:r>
    </w:p>
    <w:p w:rsidR="00BE55D6" w:rsidRDefault="006C7415">
      <w:pPr>
        <w:pStyle w:val="ListParagraph"/>
        <w:numPr>
          <w:ilvl w:val="0"/>
          <w:numId w:val="2"/>
        </w:numPr>
        <w:spacing w:after="70" w:line="276" w:lineRule="auto"/>
      </w:pPr>
      <w:r>
        <w:t>Describe the structural barriers that shape which students encounter health career pathways, and identify practical strategies for addressing them.</w:t>
      </w:r>
    </w:p>
    <w:p w:rsidR="00BE55D6" w:rsidRDefault="006C7415">
      <w:pPr>
        <w:pStyle w:val="ListParagraph"/>
        <w:numPr>
          <w:ilvl w:val="0"/>
          <w:numId w:val="2"/>
        </w:numPr>
        <w:spacing w:after="70" w:line="276" w:lineRule="auto"/>
      </w:pPr>
      <w:r>
        <w:t>Design and deliver outreach materials appropriate to distinct audiences, including students, families, counselors, and community organizations.</w:t>
      </w:r>
    </w:p>
    <w:p w:rsidR="00BE55D6" w:rsidRDefault="006C7415">
      <w:pPr>
        <w:pStyle w:val="ListParagraph"/>
        <w:numPr>
          <w:ilvl w:val="0"/>
          <w:numId w:val="2"/>
        </w:numPr>
        <w:spacing w:after="70" w:line="276" w:lineRule="auto"/>
      </w:pPr>
      <w:r>
        <w:t>Build and sustain working relationships with school and community partners over a recruitment cycle.</w:t>
      </w:r>
    </w:p>
    <w:p w:rsidR="00BE55D6" w:rsidRDefault="006C7415">
      <w:pPr>
        <w:pStyle w:val="ListParagraph"/>
        <w:numPr>
          <w:ilvl w:val="0"/>
          <w:numId w:val="2"/>
        </w:numPr>
        <w:spacing w:after="70" w:line="276" w:lineRule="auto"/>
      </w:pPr>
      <w:r>
        <w:t>Analyze outreach activity against applicant yield and translate the analysis into a strategy recommendation.</w:t>
      </w:r>
    </w:p>
    <w:p w:rsidR="00BE55D6" w:rsidRDefault="006C7415">
      <w:pPr>
        <w:pStyle w:val="ListParagraph"/>
        <w:numPr>
          <w:ilvl w:val="0"/>
          <w:numId w:val="2"/>
        </w:numPr>
        <w:spacing w:after="70" w:line="276" w:lineRule="auto"/>
      </w:pPr>
      <w:r>
        <w:t>Explain how a youth pipeline connects to a broader workforce development strategy rather than functioning as a standalone experience.</w:t>
      </w:r>
    </w:p>
    <w:p w:rsidR="00BE55D6" w:rsidRDefault="006C7415">
      <w:pPr>
        <w:pStyle w:val="Heading3"/>
        <w:spacing w:before="200" w:after="90"/>
      </w:pPr>
      <w:r>
        <w:rPr>
          <w:b/>
          <w:bCs/>
          <w:color w:val="00693E"/>
          <w:sz w:val="21"/>
          <w:szCs w:val="21"/>
        </w:rPr>
        <w:t>Competency alignment</w:t>
      </w:r>
    </w:p>
    <w:p w:rsidR="00BE55D6" w:rsidRDefault="006C7415">
      <w:pPr>
        <w:spacing w:after="140" w:line="276" w:lineRule="auto"/>
      </w:pPr>
      <w:r>
        <w:t>This placement aligns with the CEPH foundational competencies addressing assessment of population needs, assets, and capacities, application of awareness of cultural values to public health practice, identification of stakeholders and coalition building, and communication of audience-appropriate content. It is well suited to an Applied Practice Experience. Final competency mapping is confirmed with the intern's academic program before the term begins.</w:t>
      </w:r>
    </w:p>
    <w:p w:rsidR="00BE55D6" w:rsidRDefault="006C7415">
      <w:pPr>
        <w:pStyle w:val="Heading2"/>
        <w:spacing w:before="260" w:after="120"/>
      </w:pPr>
      <w:r>
        <w:rPr>
          <w:b/>
          <w:bCs/>
          <w:color w:val="12312B"/>
          <w:sz w:val="24"/>
          <w:szCs w:val="24"/>
        </w:rPr>
        <w:t>Qualifications</w:t>
      </w:r>
    </w:p>
    <w:p w:rsidR="00BE55D6" w:rsidRDefault="006C7415">
      <w:pPr>
        <w:pStyle w:val="Heading3"/>
        <w:spacing w:before="200" w:after="90"/>
      </w:pPr>
      <w:r>
        <w:rPr>
          <w:b/>
          <w:bCs/>
          <w:color w:val="00693E"/>
          <w:sz w:val="21"/>
          <w:szCs w:val="21"/>
        </w:rPr>
        <w:t>Required</w:t>
      </w:r>
    </w:p>
    <w:p w:rsidR="00BE55D6" w:rsidRDefault="006C7415">
      <w:pPr>
        <w:pStyle w:val="ListParagraph"/>
        <w:numPr>
          <w:ilvl w:val="0"/>
          <w:numId w:val="2"/>
        </w:numPr>
        <w:spacing w:after="70" w:line="276" w:lineRule="auto"/>
      </w:pPr>
      <w:r>
        <w:t>Current enrollment in a graduate or professional degree program, or completion of such a degree within the past two years.</w:t>
      </w:r>
    </w:p>
    <w:p w:rsidR="00BE55D6" w:rsidRDefault="006C7415">
      <w:pPr>
        <w:pStyle w:val="ListParagraph"/>
        <w:numPr>
          <w:ilvl w:val="0"/>
          <w:numId w:val="2"/>
        </w:numPr>
        <w:spacing w:after="70" w:line="276" w:lineRule="auto"/>
      </w:pPr>
      <w:r>
        <w:t>Strong written and verbal communication, and comfort initiating contact with external partners.</w:t>
      </w:r>
    </w:p>
    <w:p w:rsidR="00BE55D6" w:rsidRDefault="006C7415">
      <w:pPr>
        <w:pStyle w:val="ListParagraph"/>
        <w:numPr>
          <w:ilvl w:val="0"/>
          <w:numId w:val="2"/>
        </w:numPr>
        <w:spacing w:after="70" w:line="276" w:lineRule="auto"/>
      </w:pPr>
      <w:r>
        <w:t>Demonstrated follow-through on work that requires repeated contact over time.</w:t>
      </w:r>
    </w:p>
    <w:p w:rsidR="00BE55D6" w:rsidRDefault="006C7415">
      <w:pPr>
        <w:pStyle w:val="ListParagraph"/>
        <w:numPr>
          <w:ilvl w:val="0"/>
          <w:numId w:val="2"/>
        </w:numPr>
        <w:spacing w:after="70" w:line="276" w:lineRule="auto"/>
      </w:pPr>
      <w:r>
        <w:t>Interest in health equity, educational access, or workforce diversity.</w:t>
      </w:r>
    </w:p>
    <w:p w:rsidR="00BE55D6" w:rsidRDefault="006C7415">
      <w:pPr>
        <w:pStyle w:val="ListParagraph"/>
        <w:numPr>
          <w:ilvl w:val="0"/>
          <w:numId w:val="2"/>
        </w:numPr>
        <w:spacing w:after="70" w:line="276" w:lineRule="auto"/>
      </w:pPr>
      <w:r>
        <w:t>Willingness to travel within New Hampshire for outreach events, with mileage reimbursed where budgeted.</w:t>
      </w:r>
    </w:p>
    <w:p w:rsidR="00BE55D6" w:rsidRDefault="006C7415">
      <w:pPr>
        <w:pStyle w:val="Heading3"/>
        <w:spacing w:before="200" w:after="90"/>
      </w:pPr>
      <w:r>
        <w:rPr>
          <w:b/>
          <w:bCs/>
          <w:color w:val="00693E"/>
          <w:sz w:val="21"/>
          <w:szCs w:val="21"/>
        </w:rPr>
        <w:t>Preferred</w:t>
      </w:r>
    </w:p>
    <w:p w:rsidR="00BE55D6" w:rsidRDefault="006C7415">
      <w:pPr>
        <w:pStyle w:val="ListParagraph"/>
        <w:numPr>
          <w:ilvl w:val="0"/>
          <w:numId w:val="2"/>
        </w:numPr>
        <w:spacing w:after="70" w:line="276" w:lineRule="auto"/>
      </w:pPr>
      <w:r>
        <w:t>Experience in outreach, recruitment, community organizing, college access, or K–12 education.</w:t>
      </w:r>
    </w:p>
    <w:p w:rsidR="00BE55D6" w:rsidRDefault="006C7415">
      <w:pPr>
        <w:pStyle w:val="ListParagraph"/>
        <w:numPr>
          <w:ilvl w:val="0"/>
          <w:numId w:val="2"/>
        </w:numPr>
        <w:spacing w:after="70" w:line="276" w:lineRule="auto"/>
      </w:pPr>
      <w:r>
        <w:t>Familiarity with New Hampshire communities, particularly the North Country and the southern tier.</w:t>
      </w:r>
    </w:p>
    <w:p w:rsidR="00BE55D6" w:rsidRDefault="006C7415">
      <w:pPr>
        <w:pStyle w:val="ListParagraph"/>
        <w:numPr>
          <w:ilvl w:val="0"/>
          <w:numId w:val="2"/>
        </w:numPr>
        <w:spacing w:after="70" w:line="276" w:lineRule="auto"/>
      </w:pPr>
      <w:r>
        <w:t>Experience with design or communications tools and with social media for organizational accounts.</w:t>
      </w:r>
    </w:p>
    <w:p w:rsidR="00BE55D6" w:rsidRDefault="006C7415">
      <w:pPr>
        <w:pStyle w:val="ListParagraph"/>
        <w:numPr>
          <w:ilvl w:val="0"/>
          <w:numId w:val="2"/>
        </w:numPr>
        <w:spacing w:after="70" w:line="276" w:lineRule="auto"/>
      </w:pPr>
      <w:r>
        <w:t>A valid driver's license and access to transportation.</w:t>
      </w:r>
    </w:p>
    <w:p w:rsidR="00BE55D6" w:rsidRDefault="006C7415">
      <w:r>
        <w:br w:type="page"/>
      </w:r>
    </w:p>
    <w:p w:rsidR="00BE55D6" w:rsidRDefault="006C7415">
      <w:pPr>
        <w:pStyle w:val="Heading1"/>
        <w:pBdr>
          <w:bottom w:val="single" w:sz="10" w:space="6" w:color="00693E"/>
        </w:pBdr>
        <w:spacing w:before="320" w:after="180"/>
      </w:pPr>
      <w:r>
        <w:rPr>
          <w:b/>
          <w:bCs/>
          <w:color w:val="00693E"/>
          <w:sz w:val="30"/>
          <w:szCs w:val="30"/>
        </w:rPr>
        <w:lastRenderedPageBreak/>
        <w:t>About the Placements</w:t>
      </w:r>
    </w:p>
    <w:p w:rsidR="00BE55D6" w:rsidRDefault="006C7415">
      <w:pPr>
        <w:spacing w:after="140" w:line="276" w:lineRule="auto"/>
      </w:pPr>
      <w:r>
        <w:t>The New Hampshire AHEC Program Office at the Geisel School of Medicine holds the statewide cooperative agreement through which New Hampshire strengthens the supply, distribution, diversity, and quality of the health and public health workforce serving rural and underserved communities. The Program Office contracts with Northern NH AHEC and Southern NH AHEC to deliver community-based training within their regions, and it carries the statewide functions the award assigns to the recipient: evaluation, subrecipient monitoring, partnership development, the AHEC Scholars curriculum, and the youth pipeline.</w:t>
      </w:r>
    </w:p>
    <w:p w:rsidR="00BE55D6" w:rsidRDefault="006C7415">
      <w:pPr>
        <w:spacing w:after="140" w:line="276" w:lineRule="auto"/>
      </w:pPr>
      <w:r>
        <w:t>The Program Office maintains eight supervised Impact Intern placements, each with a defined portfolio and a named supervising position. The placements exist for two reasons that reinforce one another. The AHEC model develops the health and public health workforce through community-based experiential training, and a program office that provides structured, supervised placements in evaluation, community engagement, pipeline programming, and scholars administration is applying that model to its own operation. Interns gain documented experience in the field they intend to enter, and the program gains a recruitment pathway into the workforce it is funded to strengthen.</w:t>
      </w:r>
    </w:p>
    <w:p w:rsidR="00BE55D6" w:rsidRDefault="006C7415">
      <w:pPr>
        <w:spacing w:after="140" w:line="276" w:lineRule="auto"/>
      </w:pPr>
      <w:r>
        <w:t>These are learning placements rather than staffing solutions, and the number accepted in any term is set by the supervision the responsible position can genuinely provide rather than by the number of students seeking placement. Several placements align with the Applied Practice Experience requirements of graduate public health education, which allows the work to count toward degree completion.</w:t>
      </w:r>
    </w:p>
    <w:p w:rsidR="00BE55D6" w:rsidRDefault="006C7415">
      <w:pPr>
        <w:pStyle w:val="Heading2"/>
        <w:spacing w:before="260" w:after="120"/>
      </w:pPr>
      <w:r>
        <w:rPr>
          <w:b/>
          <w:bCs/>
          <w:color w:val="12312B"/>
          <w:sz w:val="24"/>
          <w:szCs w:val="24"/>
        </w:rPr>
        <w:t>Who These Placements Are For</w:t>
      </w:r>
    </w:p>
    <w:p w:rsidR="00BE55D6" w:rsidRDefault="006C7415">
      <w:pPr>
        <w:spacing w:after="140" w:line="276" w:lineRule="auto"/>
      </w:pPr>
      <w:r>
        <w:t>Seven of the eight positions are designed for graduate and professional students and for recent graduates within two years of degree completion. The Marketing and Communications placement is also open to undergraduate students, since its work draws on communication and design skills many undergraduates already bring. Applicants come from public health, medicine, nursing, physician assistant studies, health policy, education, social work, data science, communications, and related fields. Enrollment at Dartmouth is not required, and applicants from Franklin Pierce University, the University of New Hampshire, and other institutions are welcome.</w:t>
      </w:r>
    </w:p>
    <w:p w:rsidR="00BE55D6" w:rsidRDefault="006C7415">
      <w:pPr>
        <w:spacing w:after="140" w:line="276" w:lineRule="auto"/>
      </w:pPr>
      <w:r>
        <w:t>Recent graduates are eligible on the same terms as enrolled students. For a graduate entering a competitive application cycle for medical school, physician assistant programs, doctoral study, or a fellowship, a placement offers a defined portfolio, a named supervisor who can speak specifically to the work, and a deliverable that can be described concretely rather than in generalities.</w:t>
      </w:r>
    </w:p>
    <w:p w:rsidR="00BE55D6" w:rsidRDefault="006C7415">
      <w:pPr>
        <w:pStyle w:val="Heading2"/>
        <w:spacing w:before="260" w:after="120"/>
      </w:pPr>
      <w:r>
        <w:rPr>
          <w:b/>
          <w:bCs/>
          <w:color w:val="12312B"/>
          <w:sz w:val="24"/>
          <w:szCs w:val="24"/>
        </w:rPr>
        <w:t>Common Terms</w:t>
      </w:r>
    </w:p>
    <w:tbl>
      <w:tblPr>
        <w:tblW w:w="10080" w:type="dxa"/>
        <w:tblBorders>
          <w:top w:val="single" w:sz="4" w:space="0" w:color="C9D6CE"/>
          <w:left w:val="none" w:sz="0" w:space="0" w:color="FFFFFF"/>
          <w:bottom w:val="single" w:sz="4" w:space="0" w:color="C9D6CE"/>
          <w:right w:val="none" w:sz="0" w:space="0" w:color="FFFFFF"/>
          <w:insideH w:val="single" w:sz="4" w:space="0" w:color="DCE5DF"/>
          <w:insideV w:val="none" w:sz="0" w:space="0" w:color="FFFFFF"/>
        </w:tblBorders>
        <w:tblCellMar>
          <w:left w:w="10" w:type="dxa"/>
          <w:right w:w="10" w:type="dxa"/>
        </w:tblCellMar>
        <w:tblLook w:val="0000" w:firstRow="0" w:lastRow="0" w:firstColumn="0" w:lastColumn="0" w:noHBand="0" w:noVBand="0"/>
      </w:tblPr>
      <w:tblGrid>
        <w:gridCol w:w="2900"/>
        <w:gridCol w:w="7180"/>
      </w:tblGrid>
      <w:tr w:rsidR="00BE55D6">
        <w:trPr>
          <w:tblHeader/>
        </w:trPr>
        <w:tc>
          <w:tcPr>
            <w:tcW w:w="290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Term</w:t>
            </w:r>
          </w:p>
        </w:tc>
        <w:tc>
          <w:tcPr>
            <w:tcW w:w="718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Provision</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Compensation</w:t>
            </w:r>
          </w:p>
        </w:tc>
        <w:tc>
          <w:tcPr>
            <w:tcW w:w="7180" w:type="dxa"/>
            <w:tcMar>
              <w:top w:w="90" w:type="dxa"/>
              <w:left w:w="130" w:type="dxa"/>
              <w:bottom w:w="90" w:type="dxa"/>
              <w:right w:w="130" w:type="dxa"/>
            </w:tcMar>
          </w:tcPr>
          <w:p w:rsidR="00BE55D6" w:rsidRDefault="006C7415">
            <w:pPr>
              <w:spacing w:line="264" w:lineRule="auto"/>
            </w:pPr>
            <w:r>
              <w:rPr>
                <w:sz w:val="19"/>
                <w:szCs w:val="19"/>
              </w:rPr>
              <w:t>Placements are uncompensated and are structured as experiential learning rather than as employment. No salary or stipend is charged to the federal award for these positions.</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Term of service</w:t>
            </w:r>
          </w:p>
        </w:tc>
        <w:tc>
          <w:tcPr>
            <w:tcW w:w="7180" w:type="dxa"/>
            <w:tcMar>
              <w:top w:w="90" w:type="dxa"/>
              <w:left w:w="130" w:type="dxa"/>
              <w:bottom w:w="90" w:type="dxa"/>
              <w:right w:w="130" w:type="dxa"/>
            </w:tcMar>
          </w:tcPr>
          <w:p w:rsidR="00BE55D6" w:rsidRDefault="006C7415">
            <w:pPr>
              <w:spacing w:line="264" w:lineRule="auto"/>
            </w:pPr>
            <w:r>
              <w:rPr>
                <w:sz w:val="19"/>
                <w:szCs w:val="19"/>
              </w:rPr>
              <w:t>Nine, twelve, or eighteen months. The term is selected at the outset, and the start and end dates are fixed in the placement agreement.</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Effort</w:t>
            </w:r>
          </w:p>
        </w:tc>
        <w:tc>
          <w:tcPr>
            <w:tcW w:w="7180" w:type="dxa"/>
            <w:tcMar>
              <w:top w:w="90" w:type="dxa"/>
              <w:left w:w="130" w:type="dxa"/>
              <w:bottom w:w="90" w:type="dxa"/>
              <w:right w:w="130" w:type="dxa"/>
            </w:tcMar>
          </w:tcPr>
          <w:p w:rsidR="00BE55D6" w:rsidRDefault="006C7415">
            <w:pPr>
              <w:spacing w:line="264" w:lineRule="auto"/>
            </w:pPr>
            <w:r>
              <w:rPr>
                <w:sz w:val="19"/>
                <w:szCs w:val="19"/>
              </w:rPr>
              <w:t>Eight to ten hours per week across the full term, scheduled around the intern's academic obligations. Effort during peak program weeks is agreed in advance rather than assumed.</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Supervision</w:t>
            </w:r>
          </w:p>
        </w:tc>
        <w:tc>
          <w:tcPr>
            <w:tcW w:w="7180" w:type="dxa"/>
            <w:tcMar>
              <w:top w:w="90" w:type="dxa"/>
              <w:left w:w="130" w:type="dxa"/>
              <w:bottom w:w="90" w:type="dxa"/>
              <w:right w:w="130" w:type="dxa"/>
            </w:tcMar>
          </w:tcPr>
          <w:p w:rsidR="00BE55D6" w:rsidRDefault="006C7415">
            <w:pPr>
              <w:spacing w:line="264" w:lineRule="auto"/>
            </w:pPr>
            <w:r>
              <w:rPr>
                <w:sz w:val="19"/>
                <w:szCs w:val="19"/>
              </w:rPr>
              <w:t>A scheduled one-to-one meeting each week with the supervising position, plus participation in the weekly Program Office staff meeting.</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lastRenderedPageBreak/>
              <w:t>Learning agreement</w:t>
            </w:r>
          </w:p>
        </w:tc>
        <w:tc>
          <w:tcPr>
            <w:tcW w:w="7180" w:type="dxa"/>
            <w:tcMar>
              <w:top w:w="90" w:type="dxa"/>
              <w:left w:w="130" w:type="dxa"/>
              <w:bottom w:w="90" w:type="dxa"/>
              <w:right w:w="130" w:type="dxa"/>
            </w:tcMar>
          </w:tcPr>
          <w:p w:rsidR="00BE55D6" w:rsidRDefault="006C7415">
            <w:pPr>
              <w:spacing w:line="264" w:lineRule="auto"/>
            </w:pPr>
            <w:r>
              <w:rPr>
                <w:sz w:val="19"/>
                <w:szCs w:val="19"/>
              </w:rPr>
              <w:t>A written agreement at the outset states the portfolio, the learning objectives, the deliverables, the term, and the supervision schedule. It is signed by the intern and the supervising position.</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Academic credit</w:t>
            </w:r>
          </w:p>
        </w:tc>
        <w:tc>
          <w:tcPr>
            <w:tcW w:w="7180" w:type="dxa"/>
            <w:tcMar>
              <w:top w:w="90" w:type="dxa"/>
              <w:left w:w="130" w:type="dxa"/>
              <w:bottom w:w="90" w:type="dxa"/>
              <w:right w:w="130" w:type="dxa"/>
            </w:tcMar>
          </w:tcPr>
          <w:p w:rsidR="00BE55D6" w:rsidRDefault="006C7415">
            <w:pPr>
              <w:spacing w:line="264" w:lineRule="auto"/>
            </w:pPr>
            <w:r>
              <w:rPr>
                <w:sz w:val="19"/>
                <w:szCs w:val="19"/>
              </w:rPr>
              <w:t>Placements may be structured to satisfy an Integrated Learning Experience, Applied Practice Experience, a practicum, an independent study, or a capstone. Academic requirements are confirmed with the intern's program before the term begins.</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Assessment</w:t>
            </w:r>
          </w:p>
        </w:tc>
        <w:tc>
          <w:tcPr>
            <w:tcW w:w="7180" w:type="dxa"/>
            <w:tcMar>
              <w:top w:w="90" w:type="dxa"/>
              <w:left w:w="130" w:type="dxa"/>
              <w:bottom w:w="90" w:type="dxa"/>
              <w:right w:w="130" w:type="dxa"/>
            </w:tcMar>
          </w:tcPr>
          <w:p w:rsidR="00BE55D6" w:rsidRDefault="006C7415">
            <w:pPr>
              <w:spacing w:line="264" w:lineRule="auto"/>
            </w:pPr>
            <w:r>
              <w:rPr>
                <w:sz w:val="19"/>
                <w:szCs w:val="19"/>
              </w:rPr>
              <w:t>A mid-term check-in and an end-of-term review, each documented. Interns receive written feedback and may request a letter of reference from the supervising position.</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Systems and materials</w:t>
            </w:r>
          </w:p>
        </w:tc>
        <w:tc>
          <w:tcPr>
            <w:tcW w:w="7180" w:type="dxa"/>
            <w:tcMar>
              <w:top w:w="90" w:type="dxa"/>
              <w:left w:w="130" w:type="dxa"/>
              <w:bottom w:w="90" w:type="dxa"/>
              <w:right w:w="130" w:type="dxa"/>
            </w:tcMar>
          </w:tcPr>
          <w:p w:rsidR="00BE55D6" w:rsidRDefault="006C7415">
            <w:pPr>
              <w:spacing w:line="264" w:lineRule="auto"/>
            </w:pPr>
            <w:r>
              <w:rPr>
                <w:sz w:val="19"/>
                <w:szCs w:val="19"/>
              </w:rPr>
              <w:t>Interns receive the same access to systems, software, and program materials as professional staff, consistent with the technology and program operations domain of the budget.</w:t>
            </w:r>
          </w:p>
        </w:tc>
      </w:tr>
    </w:tbl>
    <w:p w:rsidR="00BE55D6" w:rsidRDefault="006C7415">
      <w:pPr>
        <w:pStyle w:val="Heading2"/>
        <w:spacing w:before="260" w:after="120"/>
      </w:pPr>
      <w:r>
        <w:rPr>
          <w:b/>
          <w:bCs/>
          <w:color w:val="12312B"/>
          <w:sz w:val="24"/>
          <w:szCs w:val="24"/>
        </w:rPr>
        <w:t>Term of Service</w:t>
      </w:r>
    </w:p>
    <w:p w:rsidR="00BE55D6" w:rsidRDefault="006C7415">
      <w:pPr>
        <w:spacing w:after="140" w:line="276" w:lineRule="auto"/>
      </w:pPr>
      <w:r>
        <w:t>Every Impact Intern serves a term of nine, twelve, or eighteen months. The three options reflect the different timelines of the eight portfolios. Some align with the academic year, while others follow the grant cycle or benefit from participation across two program cycles. The term is selected before the placement begins and is stated in the learning agreement, so that both the intern and the supervising position are planning against the same schedule.</w:t>
      </w:r>
    </w:p>
    <w:tbl>
      <w:tblPr>
        <w:tblW w:w="10080" w:type="dxa"/>
        <w:tblBorders>
          <w:top w:val="single" w:sz="4" w:space="0" w:color="C9D6CE"/>
          <w:left w:val="none" w:sz="0" w:space="0" w:color="FFFFFF"/>
          <w:bottom w:val="single" w:sz="4" w:space="0" w:color="C9D6CE"/>
          <w:right w:val="none" w:sz="0" w:space="0" w:color="FFFFFF"/>
          <w:insideH w:val="single" w:sz="4" w:space="0" w:color="DCE5DF"/>
          <w:insideV w:val="none" w:sz="0" w:space="0" w:color="FFFFFF"/>
        </w:tblBorders>
        <w:tblCellMar>
          <w:left w:w="10" w:type="dxa"/>
          <w:right w:w="10" w:type="dxa"/>
        </w:tblCellMar>
        <w:tblLook w:val="0000" w:firstRow="0" w:lastRow="0" w:firstColumn="0" w:lastColumn="0" w:noHBand="0" w:noVBand="0"/>
      </w:tblPr>
      <w:tblGrid>
        <w:gridCol w:w="1800"/>
        <w:gridCol w:w="2500"/>
        <w:gridCol w:w="5780"/>
      </w:tblGrid>
      <w:tr w:rsidR="00BE55D6">
        <w:trPr>
          <w:tblHeader/>
        </w:trPr>
        <w:tc>
          <w:tcPr>
            <w:tcW w:w="180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Term</w:t>
            </w:r>
          </w:p>
        </w:tc>
        <w:tc>
          <w:tcPr>
            <w:tcW w:w="250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Typical Window</w:t>
            </w:r>
          </w:p>
        </w:tc>
        <w:tc>
          <w:tcPr>
            <w:tcW w:w="578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What the Term Makes Possible</w:t>
            </w:r>
          </w:p>
        </w:tc>
      </w:tr>
      <w:tr w:rsidR="00BE55D6">
        <w:tc>
          <w:tcPr>
            <w:tcW w:w="1800" w:type="dxa"/>
            <w:tcMar>
              <w:top w:w="90" w:type="dxa"/>
              <w:left w:w="130" w:type="dxa"/>
              <w:bottom w:w="90" w:type="dxa"/>
              <w:right w:w="130" w:type="dxa"/>
            </w:tcMar>
          </w:tcPr>
          <w:p w:rsidR="00BE55D6" w:rsidRDefault="006C7415">
            <w:pPr>
              <w:spacing w:line="264" w:lineRule="auto"/>
            </w:pPr>
            <w:r>
              <w:rPr>
                <w:sz w:val="19"/>
                <w:szCs w:val="19"/>
              </w:rPr>
              <w:t>9 months</w:t>
            </w:r>
          </w:p>
        </w:tc>
        <w:tc>
          <w:tcPr>
            <w:tcW w:w="2500" w:type="dxa"/>
            <w:tcMar>
              <w:top w:w="90" w:type="dxa"/>
              <w:left w:w="130" w:type="dxa"/>
              <w:bottom w:w="90" w:type="dxa"/>
              <w:right w:w="130" w:type="dxa"/>
            </w:tcMar>
          </w:tcPr>
          <w:p w:rsidR="00BE55D6" w:rsidRDefault="006C7415">
            <w:pPr>
              <w:spacing w:line="264" w:lineRule="auto"/>
            </w:pPr>
            <w:r>
              <w:rPr>
                <w:sz w:val="19"/>
                <w:szCs w:val="19"/>
              </w:rPr>
              <w:t>September through May</w:t>
            </w:r>
          </w:p>
        </w:tc>
        <w:tc>
          <w:tcPr>
            <w:tcW w:w="5780" w:type="dxa"/>
            <w:tcMar>
              <w:top w:w="90" w:type="dxa"/>
              <w:left w:w="130" w:type="dxa"/>
              <w:bottom w:w="90" w:type="dxa"/>
              <w:right w:w="130" w:type="dxa"/>
            </w:tcMar>
          </w:tcPr>
          <w:p w:rsidR="00BE55D6" w:rsidRDefault="006C7415">
            <w:pPr>
              <w:spacing w:line="264" w:lineRule="auto"/>
            </w:pPr>
            <w:r>
              <w:rPr>
                <w:sz w:val="19"/>
                <w:szCs w:val="19"/>
              </w:rPr>
              <w:t>Aligns with the academic year and suits an intern whose availability ends at graduation or at the start of a summer commitment. Covers a full recruitment, selection, and delivery arc for most portfolios, though it stops short of the summer term and the August reporting close.</w:t>
            </w:r>
          </w:p>
        </w:tc>
      </w:tr>
      <w:tr w:rsidR="00BE55D6">
        <w:tc>
          <w:tcPr>
            <w:tcW w:w="1800" w:type="dxa"/>
            <w:tcMar>
              <w:top w:w="90" w:type="dxa"/>
              <w:left w:w="130" w:type="dxa"/>
              <w:bottom w:w="90" w:type="dxa"/>
              <w:right w:w="130" w:type="dxa"/>
            </w:tcMar>
          </w:tcPr>
          <w:p w:rsidR="00BE55D6" w:rsidRDefault="006C7415">
            <w:pPr>
              <w:spacing w:line="264" w:lineRule="auto"/>
            </w:pPr>
            <w:r>
              <w:rPr>
                <w:sz w:val="19"/>
                <w:szCs w:val="19"/>
              </w:rPr>
              <w:t>12 months</w:t>
            </w:r>
          </w:p>
        </w:tc>
        <w:tc>
          <w:tcPr>
            <w:tcW w:w="2500" w:type="dxa"/>
            <w:tcMar>
              <w:top w:w="90" w:type="dxa"/>
              <w:left w:w="130" w:type="dxa"/>
              <w:bottom w:w="90" w:type="dxa"/>
              <w:right w:w="130" w:type="dxa"/>
            </w:tcMar>
          </w:tcPr>
          <w:p w:rsidR="00BE55D6" w:rsidRDefault="006C7415">
            <w:pPr>
              <w:spacing w:line="264" w:lineRule="auto"/>
            </w:pPr>
            <w:r>
              <w:rPr>
                <w:sz w:val="19"/>
                <w:szCs w:val="19"/>
              </w:rPr>
              <w:t>September through August</w:t>
            </w:r>
          </w:p>
        </w:tc>
        <w:tc>
          <w:tcPr>
            <w:tcW w:w="5780" w:type="dxa"/>
            <w:tcMar>
              <w:top w:w="90" w:type="dxa"/>
              <w:left w:w="130" w:type="dxa"/>
              <w:bottom w:w="90" w:type="dxa"/>
              <w:right w:w="130" w:type="dxa"/>
            </w:tcMar>
          </w:tcPr>
          <w:p w:rsidR="00BE55D6" w:rsidRDefault="006C7415">
            <w:pPr>
              <w:spacing w:line="264" w:lineRule="auto"/>
            </w:pPr>
            <w:r>
              <w:rPr>
                <w:sz w:val="19"/>
                <w:szCs w:val="19"/>
              </w:rPr>
              <w:t>Aligns with the grant year and carries the intern through one complete program cycle, including summer delivery, completion determinations, the annual performance report, and the August statewide retreat. This is the standard term and the one most portfolios are built around.</w:t>
            </w:r>
          </w:p>
        </w:tc>
      </w:tr>
      <w:tr w:rsidR="00BE55D6">
        <w:tc>
          <w:tcPr>
            <w:tcW w:w="1800" w:type="dxa"/>
            <w:tcMar>
              <w:top w:w="90" w:type="dxa"/>
              <w:left w:w="130" w:type="dxa"/>
              <w:bottom w:w="90" w:type="dxa"/>
              <w:right w:w="130" w:type="dxa"/>
            </w:tcMar>
          </w:tcPr>
          <w:p w:rsidR="00BE55D6" w:rsidRDefault="006C7415">
            <w:pPr>
              <w:spacing w:line="264" w:lineRule="auto"/>
            </w:pPr>
            <w:r>
              <w:rPr>
                <w:sz w:val="19"/>
                <w:szCs w:val="19"/>
              </w:rPr>
              <w:t>18 months</w:t>
            </w:r>
          </w:p>
        </w:tc>
        <w:tc>
          <w:tcPr>
            <w:tcW w:w="2500" w:type="dxa"/>
            <w:tcMar>
              <w:top w:w="90" w:type="dxa"/>
              <w:left w:w="130" w:type="dxa"/>
              <w:bottom w:w="90" w:type="dxa"/>
              <w:right w:w="130" w:type="dxa"/>
            </w:tcMar>
          </w:tcPr>
          <w:p w:rsidR="00BE55D6" w:rsidRDefault="006C7415">
            <w:pPr>
              <w:spacing w:line="264" w:lineRule="auto"/>
            </w:pPr>
            <w:r>
              <w:rPr>
                <w:sz w:val="19"/>
                <w:szCs w:val="19"/>
              </w:rPr>
              <w:t>September through the following February, or January through the following June</w:t>
            </w:r>
          </w:p>
        </w:tc>
        <w:tc>
          <w:tcPr>
            <w:tcW w:w="5780" w:type="dxa"/>
            <w:tcMar>
              <w:top w:w="90" w:type="dxa"/>
              <w:left w:w="130" w:type="dxa"/>
              <w:bottom w:w="90" w:type="dxa"/>
              <w:right w:w="130" w:type="dxa"/>
            </w:tcMar>
          </w:tcPr>
          <w:p w:rsidR="00BE55D6" w:rsidRDefault="006C7415">
            <w:pPr>
              <w:spacing w:line="264" w:lineRule="auto"/>
            </w:pPr>
            <w:r>
              <w:rPr>
                <w:sz w:val="19"/>
                <w:szCs w:val="19"/>
              </w:rPr>
              <w:t>Spans two cycles, which allows an intern to apply what the first cycle taught to the planning of the second. Suited to portfolios with longitudinal work, to interns contributing to the competing continuation application, and to recent graduates in a defined gap period before further training.</w:t>
            </w:r>
          </w:p>
        </w:tc>
      </w:tr>
    </w:tbl>
    <w:p w:rsidR="00BE55D6" w:rsidRDefault="006C7415">
      <w:pPr>
        <w:spacing w:before="100" w:after="140" w:line="276" w:lineRule="auto"/>
      </w:pPr>
      <w:r>
        <w:t>Nine- and twelve-month terms may begin at other points in the year where the portfolio and the supervising position can support it. A term may be extended once, from nine months to twelve or from twelve to eighteen, by written amendment to the learning agreement and with the agreement of both the intern and the supervising position. Terms are not shortened after the fact except for cause or for a change in the intern's academic or personal circumstances, since the portfolios are assigned on the assumption that the term will be completed.</w:t>
      </w:r>
    </w:p>
    <w:p w:rsidR="00BE55D6" w:rsidRDefault="006C7415">
      <w:pPr>
        <w:pStyle w:val="Heading2"/>
        <w:spacing w:before="260" w:after="120"/>
      </w:pPr>
      <w:r>
        <w:rPr>
          <w:b/>
          <w:bCs/>
          <w:color w:val="12312B"/>
          <w:sz w:val="24"/>
          <w:szCs w:val="24"/>
        </w:rPr>
        <w:t>Scope of Intern Work</w:t>
      </w:r>
    </w:p>
    <w:p w:rsidR="00BE55D6" w:rsidRDefault="006C7415">
      <w:pPr>
        <w:spacing w:after="140" w:line="276" w:lineRule="auto"/>
      </w:pPr>
      <w:r>
        <w:t>The boundary below is stated deliberately, because placements extend the reach of the professional positions without substituting for them. Every applicant should understand it before applying, and every supervisor is accountable for holding it.</w:t>
      </w:r>
    </w:p>
    <w:p w:rsidR="00BE55D6" w:rsidRDefault="006C7415">
      <w:pPr>
        <w:pStyle w:val="ListParagraph"/>
        <w:numPr>
          <w:ilvl w:val="0"/>
          <w:numId w:val="2"/>
        </w:numPr>
        <w:spacing w:after="70" w:line="276" w:lineRule="auto"/>
      </w:pPr>
      <w:r>
        <w:lastRenderedPageBreak/>
        <w:t>Functions carrying compliance, fiscal, or reporting consequence remain with the five budgeted professional positions. These include subrecipient monitoring determinations, federal reporting submissions, evaluation design, and the execution of center agreements.</w:t>
      </w:r>
    </w:p>
    <w:p w:rsidR="00BE55D6" w:rsidRDefault="006C7415">
      <w:pPr>
        <w:pStyle w:val="ListParagraph"/>
        <w:numPr>
          <w:ilvl w:val="0"/>
          <w:numId w:val="2"/>
        </w:numPr>
        <w:spacing w:after="70" w:line="276" w:lineRule="auto"/>
      </w:pPr>
      <w:r>
        <w:t>Work performed within a placement is reviewed and approved by the supervising position before it enters any program record or federal submission.</w:t>
      </w:r>
    </w:p>
    <w:p w:rsidR="00BE55D6" w:rsidRDefault="006C7415">
      <w:pPr>
        <w:pStyle w:val="ListParagraph"/>
        <w:numPr>
          <w:ilvl w:val="0"/>
          <w:numId w:val="2"/>
        </w:numPr>
        <w:spacing w:after="70" w:line="276" w:lineRule="auto"/>
      </w:pPr>
      <w:r>
        <w:t>Interns do not represent the Program Office to HRSA, to the regional centers, or to partner organizations without the supervising position present or an explicit written delegation for a defined task.</w:t>
      </w:r>
    </w:p>
    <w:p w:rsidR="00BE55D6" w:rsidRDefault="006C7415">
      <w:pPr>
        <w:pStyle w:val="ListParagraph"/>
        <w:numPr>
          <w:ilvl w:val="0"/>
          <w:numId w:val="2"/>
        </w:numPr>
        <w:spacing w:after="70" w:line="276" w:lineRule="auto"/>
      </w:pPr>
      <w:r>
        <w:t>Interns do not make determinations about participant selection, eligibility, or program completion, though they may prepare the materials on which those determinations are made.</w:t>
      </w:r>
    </w:p>
    <w:p w:rsidR="00BE55D6" w:rsidRDefault="006C7415">
      <w:pPr>
        <w:spacing w:before="100" w:after="140" w:line="276" w:lineRule="auto"/>
      </w:pPr>
      <w:r>
        <w:t>Read the other way, the boundary is a commitment to the intern. It means the work assigned is work the intern is prepared to do, that a professional position stands behind every product before it leaves the office, and that no one is asked to carry a federal obligation they did not sign up for.</w:t>
      </w:r>
    </w:p>
    <w:p w:rsidR="00BE55D6" w:rsidRDefault="006C7415">
      <w:pPr>
        <w:pStyle w:val="Heading2"/>
        <w:spacing w:before="260" w:after="120"/>
      </w:pPr>
      <w:r>
        <w:rPr>
          <w:b/>
          <w:bCs/>
          <w:color w:val="12312B"/>
          <w:sz w:val="24"/>
          <w:szCs w:val="24"/>
        </w:rPr>
        <w:t>Expectations of Every Intern</w:t>
      </w:r>
    </w:p>
    <w:p w:rsidR="00BE55D6" w:rsidRDefault="006C7415">
      <w:pPr>
        <w:pStyle w:val="ListParagraph"/>
        <w:numPr>
          <w:ilvl w:val="0"/>
          <w:numId w:val="2"/>
        </w:numPr>
        <w:spacing w:after="70" w:line="276" w:lineRule="auto"/>
      </w:pPr>
      <w:r>
        <w:t>Hold the confidentiality of participant, applicant, and partner information, and complete any training the Program Office or the institution requires before handling it.</w:t>
      </w:r>
    </w:p>
    <w:p w:rsidR="00BE55D6" w:rsidRDefault="006C7415">
      <w:pPr>
        <w:pStyle w:val="ListParagraph"/>
        <w:numPr>
          <w:ilvl w:val="0"/>
          <w:numId w:val="2"/>
        </w:numPr>
        <w:spacing w:after="70" w:line="276" w:lineRule="auto"/>
      </w:pPr>
      <w:r>
        <w:t>Complete assigned work by agreed dates, and raise a conflict or a delay early enough that it can be solved rather than absorbed.</w:t>
      </w:r>
    </w:p>
    <w:p w:rsidR="00BE55D6" w:rsidRDefault="006C7415">
      <w:pPr>
        <w:pStyle w:val="ListParagraph"/>
        <w:numPr>
          <w:ilvl w:val="0"/>
          <w:numId w:val="2"/>
        </w:numPr>
        <w:spacing w:after="70" w:line="276" w:lineRule="auto"/>
      </w:pPr>
      <w:r>
        <w:t>Attend the weekly supervision meeting and the Program Office staff meeting, prepared with progress, questions, and anything needing a decision.</w:t>
      </w:r>
    </w:p>
    <w:p w:rsidR="00BE55D6" w:rsidRDefault="006C7415">
      <w:pPr>
        <w:pStyle w:val="ListParagraph"/>
        <w:numPr>
          <w:ilvl w:val="0"/>
          <w:numId w:val="2"/>
        </w:numPr>
        <w:spacing w:after="70" w:line="276" w:lineRule="auto"/>
      </w:pPr>
      <w:r>
        <w:t>Represent the program professionally with students, preceptors, community partners, faculty, and center staff, recognizing that many of these relationships predate the placement and will outlast it.</w:t>
      </w:r>
    </w:p>
    <w:p w:rsidR="00BE55D6" w:rsidRDefault="006C7415">
      <w:pPr>
        <w:pStyle w:val="ListParagraph"/>
        <w:numPr>
          <w:ilvl w:val="0"/>
          <w:numId w:val="2"/>
        </w:numPr>
        <w:spacing w:after="70" w:line="276" w:lineRule="auto"/>
      </w:pPr>
      <w:r>
        <w:t xml:space="preserve">Ask when something is unclear. Interns are not expected to arrive knowing federal grant administration. Note: </w:t>
      </w:r>
      <w:r>
        <w:rPr>
          <w:i/>
        </w:rPr>
        <w:t>a question asked early is materially less costly than a correction made later.</w:t>
      </w:r>
    </w:p>
    <w:p w:rsidR="00BE55D6" w:rsidRDefault="006C7415">
      <w:r>
        <w:br w:type="page"/>
      </w:r>
    </w:p>
    <w:p w:rsidR="00BE55D6" w:rsidRDefault="006C7415">
      <w:pPr>
        <w:pStyle w:val="Heading1"/>
        <w:pBdr>
          <w:bottom w:val="single" w:sz="10" w:space="6" w:color="00693E"/>
        </w:pBdr>
        <w:spacing w:before="320" w:after="180"/>
      </w:pPr>
      <w:r>
        <w:rPr>
          <w:b/>
          <w:bCs/>
          <w:color w:val="00693E"/>
          <w:sz w:val="30"/>
          <w:szCs w:val="30"/>
        </w:rPr>
        <w:lastRenderedPageBreak/>
        <w:t>Applying</w:t>
      </w:r>
    </w:p>
    <w:p w:rsidR="00BE55D6" w:rsidRDefault="006C7415">
      <w:pPr>
        <w:spacing w:after="140" w:line="276" w:lineRule="auto"/>
      </w:pPr>
      <w:r>
        <w:t>Applications are reviewed on a rolling basis, and placements are confirmed in advance of each academic term. Because the number accepted is set by available supervision rather than by demand, applicants are encouraged to inquire early and to indicate a second portfolio of interest.</w:t>
      </w:r>
    </w:p>
    <w:p w:rsidR="00BE55D6" w:rsidRDefault="006C7415">
      <w:pPr>
        <w:pStyle w:val="Heading2"/>
        <w:spacing w:before="260" w:after="120"/>
      </w:pPr>
      <w:r>
        <w:rPr>
          <w:b/>
          <w:bCs/>
          <w:color w:val="12312B"/>
          <w:sz w:val="24"/>
          <w:szCs w:val="24"/>
        </w:rPr>
        <w:t>How to Apply</w:t>
      </w:r>
    </w:p>
    <w:p w:rsidR="00BE55D6" w:rsidRDefault="006C7415">
      <w:pPr>
        <w:pStyle w:val="ListParagraph"/>
        <w:numPr>
          <w:ilvl w:val="0"/>
          <w:numId w:val="2"/>
        </w:numPr>
        <w:spacing w:after="70" w:line="276" w:lineRule="auto"/>
      </w:pPr>
      <w:r>
        <w:t>Submit a current resume or curriculum vitae.</w:t>
      </w:r>
    </w:p>
    <w:p w:rsidR="00BE55D6" w:rsidRDefault="006C7415">
      <w:pPr>
        <w:pStyle w:val="ListParagraph"/>
        <w:numPr>
          <w:ilvl w:val="0"/>
          <w:numId w:val="2"/>
        </w:numPr>
        <w:spacing w:after="70" w:line="276" w:lineRule="auto"/>
      </w:pPr>
      <w:r>
        <w:t>Submit a letter of interest of no more than one page identifying the placement sought, what the applicant hopes to learn, and what they bring to the portfolio.</w:t>
      </w:r>
    </w:p>
    <w:p w:rsidR="00BE55D6" w:rsidRDefault="006C7415">
      <w:pPr>
        <w:pStyle w:val="ListParagraph"/>
        <w:numPr>
          <w:ilvl w:val="0"/>
          <w:numId w:val="2"/>
        </w:numPr>
        <w:spacing w:after="70" w:line="276" w:lineRule="auto"/>
      </w:pPr>
      <w:r>
        <w:t>Identify any academic requirement the placement would satisfy, including an Applied Practice Experience, practicum, independent study, or capstone, together with the name of the faculty member or coordinator who approves it.</w:t>
      </w:r>
    </w:p>
    <w:p w:rsidR="00BE55D6" w:rsidRDefault="006C7415">
      <w:pPr>
        <w:pStyle w:val="ListParagraph"/>
        <w:numPr>
          <w:ilvl w:val="0"/>
          <w:numId w:val="2"/>
        </w:numPr>
        <w:spacing w:after="70" w:line="276" w:lineRule="auto"/>
      </w:pPr>
      <w:r>
        <w:t>Indicate the term of service sought — nine, twelve, or eighteen months — together with a preferred start date and the number of hours per week that can realistically be committed.</w:t>
      </w:r>
    </w:p>
    <w:p w:rsidR="00BE55D6" w:rsidRDefault="006C7415">
      <w:pPr>
        <w:pStyle w:val="ListParagraph"/>
        <w:numPr>
          <w:ilvl w:val="0"/>
          <w:numId w:val="2"/>
        </w:numPr>
        <w:spacing w:after="70" w:line="276" w:lineRule="auto"/>
      </w:pPr>
      <w:r>
        <w:t>Provide the name and contact information of one academic or professional reference.</w:t>
      </w:r>
    </w:p>
    <w:p w:rsidR="00BE55D6" w:rsidRDefault="006C7415">
      <w:pPr>
        <w:spacing w:before="100" w:after="140" w:line="276" w:lineRule="auto"/>
      </w:pPr>
      <w:r>
        <w:t>Materials are submitted to the New Hampshire AHEC Program Office at the Geisel School of Medicine. Applicants selected for consideration meet with the supervising position to discuss fit, scope, and the terms of the placement agreement before an offer is made.</w:t>
      </w:r>
    </w:p>
    <w:p w:rsidR="00BE55D6" w:rsidRDefault="006C7415">
      <w:pPr>
        <w:pStyle w:val="Heading2"/>
        <w:spacing w:before="260" w:after="120"/>
      </w:pPr>
      <w:r>
        <w:rPr>
          <w:b/>
          <w:bCs/>
          <w:color w:val="12312B"/>
          <w:sz w:val="24"/>
          <w:szCs w:val="24"/>
        </w:rPr>
        <w:t>Selection</w:t>
      </w:r>
    </w:p>
    <w:p w:rsidR="00BE55D6" w:rsidRDefault="006C7415">
      <w:pPr>
        <w:spacing w:after="140" w:line="276" w:lineRule="auto"/>
      </w:pPr>
      <w:r>
        <w:t>Selection considers the alignment between the applicant's stated learning goals and the portfolio, the applicant's readiness to carry the work with the level of supervision the position can provide, and the applicant's ability to complete the term of service the portfolio requires. The Program Office recruits deliberately from across disciplines and institutions, and applications from students and recent graduates whose backgrounds are underrepresented in the health and public health professions are particularly welcome.</w:t>
      </w:r>
    </w:p>
    <w:p w:rsidR="00BE55D6" w:rsidRDefault="006C7415">
      <w:pPr>
        <w:pBdr>
          <w:top w:val="single" w:sz="6" w:space="8" w:color="C9D6CE"/>
        </w:pBdr>
        <w:spacing w:before="400"/>
      </w:pPr>
      <w:r>
        <w:rPr>
          <w:i/>
          <w:iCs/>
          <w:color w:val="5A5A5A"/>
          <w:sz w:val="17"/>
          <w:szCs w:val="17"/>
        </w:rPr>
        <w:t>Prepared by the New Hampshire AHEC Program Office at the Geisel School of Medicine at Dartmouth. These descriptions are maintained as a working reference and are revised as the staffing structure, the cooperative agreement, and program conditions require. Placements are uncompensated experiential learning opportunities and do not constitute an offer of employment.</w:t>
      </w:r>
    </w:p>
    <w:sectPr w:rsidR="00BE55D6">
      <w:headerReference w:type="default" r:id="rId9"/>
      <w:footerReference w:type="default" r:id="rId10"/>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5DD9" w:rsidRDefault="00065DD9">
      <w:r>
        <w:separator/>
      </w:r>
    </w:p>
  </w:endnote>
  <w:endnote w:type="continuationSeparator" w:id="0">
    <w:p w:rsidR="00065DD9" w:rsidRDefault="00065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415" w:rsidRDefault="006C7415">
    <w:pPr>
      <w:jc w:val="center"/>
    </w:pPr>
    <w:r>
      <w:rPr>
        <w:color w:val="5A5A5A"/>
        <w:sz w:val="16"/>
        <w:szCs w:val="16"/>
      </w:rPr>
      <w:t xml:space="preserve">Page </w:t>
    </w:r>
    <w:r>
      <w:rPr>
        <w:color w:val="5A5A5A"/>
        <w:sz w:val="16"/>
        <w:szCs w:val="16"/>
      </w:rPr>
      <w:fldChar w:fldCharType="begin"/>
    </w:r>
    <w:r>
      <w:rPr>
        <w:color w:val="5A5A5A"/>
        <w:sz w:val="16"/>
        <w:szCs w:val="16"/>
      </w:rPr>
      <w:instrText>PAGE</w:instrText>
    </w:r>
    <w:r>
      <w:rPr>
        <w:color w:val="5A5A5A"/>
        <w:sz w:val="16"/>
        <w:szCs w:val="16"/>
      </w:rPr>
      <w:fldChar w:fldCharType="separate"/>
    </w:r>
    <w:r>
      <w:rPr>
        <w:noProof/>
        <w:color w:val="5A5A5A"/>
        <w:sz w:val="16"/>
        <w:szCs w:val="16"/>
      </w:rPr>
      <w:t>1</w:t>
    </w:r>
    <w:r>
      <w:rPr>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5DD9" w:rsidRDefault="00065DD9">
      <w:r>
        <w:separator/>
      </w:r>
    </w:p>
  </w:footnote>
  <w:footnote w:type="continuationSeparator" w:id="0">
    <w:p w:rsidR="00065DD9" w:rsidRDefault="00065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415" w:rsidRDefault="006C7415">
    <w:pPr>
      <w:pBdr>
        <w:bottom w:val="single" w:sz="4" w:space="4" w:color="C9D6CE"/>
      </w:pBdr>
      <w:spacing w:after="120"/>
      <w:jc w:val="right"/>
    </w:pPr>
    <w:r>
      <w:rPr>
        <w:color w:val="5A5A5A"/>
        <w:sz w:val="16"/>
        <w:szCs w:val="16"/>
      </w:rPr>
      <w:t xml:space="preserve">New Hampshire AHEC Program </w:t>
    </w:r>
    <w:proofErr w:type="gramStart"/>
    <w:r>
      <w:rPr>
        <w:color w:val="5A5A5A"/>
        <w:sz w:val="16"/>
        <w:szCs w:val="16"/>
      </w:rPr>
      <w:t>Office  ·</w:t>
    </w:r>
    <w:proofErr w:type="gramEnd"/>
    <w:r>
      <w:rPr>
        <w:color w:val="5A5A5A"/>
        <w:sz w:val="16"/>
        <w:szCs w:val="16"/>
      </w:rPr>
      <w:t xml:space="preserve">  Youth Pipeline Programs Impact Intern  ·  AY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230AF"/>
    <w:multiLevelType w:val="hybridMultilevel"/>
    <w:tmpl w:val="C02E182C"/>
    <w:lvl w:ilvl="0" w:tplc="C9EE4E9E">
      <w:start w:val="1"/>
      <w:numFmt w:val="bullet"/>
      <w:lvlText w:val="●"/>
      <w:lvlJc w:val="left"/>
      <w:pPr>
        <w:ind w:left="720" w:hanging="360"/>
      </w:pPr>
    </w:lvl>
    <w:lvl w:ilvl="1" w:tplc="6616E860">
      <w:start w:val="1"/>
      <w:numFmt w:val="bullet"/>
      <w:lvlText w:val="○"/>
      <w:lvlJc w:val="left"/>
      <w:pPr>
        <w:ind w:left="1440" w:hanging="360"/>
      </w:pPr>
    </w:lvl>
    <w:lvl w:ilvl="2" w:tplc="2D6E4FCA">
      <w:start w:val="1"/>
      <w:numFmt w:val="bullet"/>
      <w:lvlText w:val="■"/>
      <w:lvlJc w:val="left"/>
      <w:pPr>
        <w:ind w:left="2160" w:hanging="360"/>
      </w:pPr>
    </w:lvl>
    <w:lvl w:ilvl="3" w:tplc="6FD0062C">
      <w:start w:val="1"/>
      <w:numFmt w:val="bullet"/>
      <w:lvlText w:val="●"/>
      <w:lvlJc w:val="left"/>
      <w:pPr>
        <w:ind w:left="2880" w:hanging="360"/>
      </w:pPr>
    </w:lvl>
    <w:lvl w:ilvl="4" w:tplc="062C1528">
      <w:start w:val="1"/>
      <w:numFmt w:val="bullet"/>
      <w:lvlText w:val="○"/>
      <w:lvlJc w:val="left"/>
      <w:pPr>
        <w:ind w:left="3600" w:hanging="360"/>
      </w:pPr>
    </w:lvl>
    <w:lvl w:ilvl="5" w:tplc="0890F2B2">
      <w:start w:val="1"/>
      <w:numFmt w:val="bullet"/>
      <w:lvlText w:val="■"/>
      <w:lvlJc w:val="left"/>
      <w:pPr>
        <w:ind w:left="4320" w:hanging="360"/>
      </w:pPr>
    </w:lvl>
    <w:lvl w:ilvl="6" w:tplc="3DD0D18C">
      <w:start w:val="1"/>
      <w:numFmt w:val="bullet"/>
      <w:lvlText w:val="●"/>
      <w:lvlJc w:val="left"/>
      <w:pPr>
        <w:ind w:left="5040" w:hanging="360"/>
      </w:pPr>
    </w:lvl>
    <w:lvl w:ilvl="7" w:tplc="8DF6A3C0">
      <w:start w:val="1"/>
      <w:numFmt w:val="bullet"/>
      <w:lvlText w:val="●"/>
      <w:lvlJc w:val="left"/>
      <w:pPr>
        <w:ind w:left="5760" w:hanging="360"/>
      </w:pPr>
    </w:lvl>
    <w:lvl w:ilvl="8" w:tplc="9EACB852">
      <w:start w:val="1"/>
      <w:numFmt w:val="bullet"/>
      <w:lvlText w:val="●"/>
      <w:lvlJc w:val="left"/>
      <w:pPr>
        <w:ind w:left="6480" w:hanging="360"/>
      </w:pPr>
    </w:lvl>
  </w:abstractNum>
  <w:abstractNum w:abstractNumId="1" w15:restartNumberingAfterBreak="0">
    <w:nsid w:val="693B48B1"/>
    <w:multiLevelType w:val="hybridMultilevel"/>
    <w:tmpl w:val="FCD4DC74"/>
    <w:lvl w:ilvl="0" w:tplc="02A607DA">
      <w:start w:val="1"/>
      <w:numFmt w:val="bullet"/>
      <w:lvlText w:val="•"/>
      <w:lvlJc w:val="left"/>
      <w:pPr>
        <w:ind w:left="431" w:hanging="259"/>
      </w:pPr>
    </w:lvl>
    <w:lvl w:ilvl="1" w:tplc="805E0784">
      <w:numFmt w:val="decimal"/>
      <w:lvlText w:val=""/>
      <w:lvlJc w:val="left"/>
    </w:lvl>
    <w:lvl w:ilvl="2" w:tplc="CB9A83A6">
      <w:numFmt w:val="decimal"/>
      <w:lvlText w:val=""/>
      <w:lvlJc w:val="left"/>
    </w:lvl>
    <w:lvl w:ilvl="3" w:tplc="1CC64C68">
      <w:numFmt w:val="decimal"/>
      <w:lvlText w:val=""/>
      <w:lvlJc w:val="left"/>
    </w:lvl>
    <w:lvl w:ilvl="4" w:tplc="8FE249AA">
      <w:numFmt w:val="decimal"/>
      <w:lvlText w:val=""/>
      <w:lvlJc w:val="left"/>
    </w:lvl>
    <w:lvl w:ilvl="5" w:tplc="8CD417B2">
      <w:numFmt w:val="decimal"/>
      <w:lvlText w:val=""/>
      <w:lvlJc w:val="left"/>
    </w:lvl>
    <w:lvl w:ilvl="6" w:tplc="56EACF80">
      <w:numFmt w:val="decimal"/>
      <w:lvlText w:val=""/>
      <w:lvlJc w:val="left"/>
    </w:lvl>
    <w:lvl w:ilvl="7" w:tplc="113A49D4">
      <w:numFmt w:val="decimal"/>
      <w:lvlText w:val=""/>
      <w:lvlJc w:val="left"/>
    </w:lvl>
    <w:lvl w:ilvl="8" w:tplc="A560E156">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5D6"/>
    <w:rsid w:val="00013BAA"/>
    <w:rsid w:val="00065DD9"/>
    <w:rsid w:val="002E37CC"/>
    <w:rsid w:val="005820B6"/>
    <w:rsid w:val="00633CDD"/>
    <w:rsid w:val="006C7415"/>
    <w:rsid w:val="00BE55D6"/>
    <w:rsid w:val="00C9409B"/>
    <w:rsid w:val="00E038B2"/>
    <w:rsid w:val="00FB1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CD526285-55A7-2643-B15C-55A9C23B9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1F1F1F"/>
        <w:sz w:val="21"/>
        <w:szCs w:val="21"/>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92137">
      <w:bodyDiv w:val="1"/>
      <w:marLeft w:val="0"/>
      <w:marRight w:val="0"/>
      <w:marTop w:val="0"/>
      <w:marBottom w:val="0"/>
      <w:divBdr>
        <w:top w:val="none" w:sz="0" w:space="0" w:color="auto"/>
        <w:left w:val="none" w:sz="0" w:space="0" w:color="auto"/>
        <w:bottom w:val="none" w:sz="0" w:space="0" w:color="auto"/>
        <w:right w:val="none" w:sz="0" w:space="0" w:color="auto"/>
      </w:divBdr>
    </w:div>
    <w:div w:id="494345380">
      <w:bodyDiv w:val="1"/>
      <w:marLeft w:val="0"/>
      <w:marRight w:val="0"/>
      <w:marTop w:val="0"/>
      <w:marBottom w:val="0"/>
      <w:divBdr>
        <w:top w:val="none" w:sz="0" w:space="0" w:color="auto"/>
        <w:left w:val="none" w:sz="0" w:space="0" w:color="auto"/>
        <w:bottom w:val="none" w:sz="0" w:space="0" w:color="auto"/>
        <w:right w:val="none" w:sz="0" w:space="0" w:color="auto"/>
      </w:divBdr>
    </w:div>
    <w:div w:id="758065953">
      <w:bodyDiv w:val="1"/>
      <w:marLeft w:val="0"/>
      <w:marRight w:val="0"/>
      <w:marTop w:val="0"/>
      <w:marBottom w:val="0"/>
      <w:divBdr>
        <w:top w:val="none" w:sz="0" w:space="0" w:color="auto"/>
        <w:left w:val="none" w:sz="0" w:space="0" w:color="auto"/>
        <w:bottom w:val="none" w:sz="0" w:space="0" w:color="auto"/>
        <w:right w:val="none" w:sz="0" w:space="0" w:color="auto"/>
      </w:divBdr>
    </w:div>
    <w:div w:id="854539468">
      <w:bodyDiv w:val="1"/>
      <w:marLeft w:val="0"/>
      <w:marRight w:val="0"/>
      <w:marTop w:val="0"/>
      <w:marBottom w:val="0"/>
      <w:divBdr>
        <w:top w:val="none" w:sz="0" w:space="0" w:color="auto"/>
        <w:left w:val="none" w:sz="0" w:space="0" w:color="auto"/>
        <w:bottom w:val="none" w:sz="0" w:space="0" w:color="auto"/>
        <w:right w:val="none" w:sz="0" w:space="0" w:color="auto"/>
      </w:divBdr>
    </w:div>
    <w:div w:id="1222130998">
      <w:bodyDiv w:val="1"/>
      <w:marLeft w:val="0"/>
      <w:marRight w:val="0"/>
      <w:marTop w:val="0"/>
      <w:marBottom w:val="0"/>
      <w:divBdr>
        <w:top w:val="none" w:sz="0" w:space="0" w:color="auto"/>
        <w:left w:val="none" w:sz="0" w:space="0" w:color="auto"/>
        <w:bottom w:val="none" w:sz="0" w:space="0" w:color="auto"/>
        <w:right w:val="none" w:sz="0" w:space="0" w:color="auto"/>
      </w:divBdr>
    </w:div>
    <w:div w:id="15438616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2632</Words>
  <Characters>15007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Alicia L. Battle</cp:lastModifiedBy>
  <cp:revision>2</cp:revision>
  <cp:lastPrinted>2026-09-30T15:23:00Z</cp:lastPrinted>
  <dcterms:created xsi:type="dcterms:W3CDTF">2026-09-30T16:42:00Z</dcterms:created>
  <dcterms:modified xsi:type="dcterms:W3CDTF">2026-09-30T16:42:00Z</dcterms:modified>
</cp:coreProperties>
</file>