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5D6" w:rsidRDefault="006C7415">
      <w:pPr>
        <w:tabs>
          <w:tab w:val="right" w:pos="10080"/>
        </w:tabs>
        <w:spacing w:after="720"/>
      </w:pPr>
      <w:bookmarkStart w:id="0" w:name="_GoBack"/>
      <w:bookmarkEnd w:id="0"/>
      <w:r>
        <w:rPr>
          <w:noProof/>
        </w:rPr>
        <w:drawing>
          <wp:inline distT="0" distB="0" distL="0" distR="0">
            <wp:extent cx="2197936" cy="566928"/>
            <wp:effectExtent l="0" t="0" r="0" b="0"/>
            <wp:docPr id="9001" name="New Hampshire Area Health Education Center logo" descr="New Hampshire Area Health Education Cen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New Hampshire Area Health Education Center logo"/>
                    <pic:cNvPicPr/>
                  </pic:nvPicPr>
                  <pic:blipFill>
                    <a:blip r:embed="rId7"/>
                    <a:stretch>
                      <a:fillRect/>
                    </a:stretch>
                  </pic:blipFill>
                  <pic:spPr>
                    <a:xfrm>
                      <a:off x="0" y="0"/>
                      <a:ext cx="2197936" cy="566928"/>
                    </a:xfrm>
                    <a:prstGeom prst="rect">
                      <a:avLst/>
                    </a:prstGeom>
                  </pic:spPr>
                </pic:pic>
              </a:graphicData>
            </a:graphic>
          </wp:inline>
        </w:drawing>
      </w:r>
      <w:r>
        <w:tab/>
      </w:r>
      <w:r>
        <w:rPr>
          <w:noProof/>
        </w:rPr>
        <w:drawing>
          <wp:inline distT="0" distB="0" distL="0" distR="0">
            <wp:extent cx="1664375" cy="566928"/>
            <wp:effectExtent l="0" t="0" r="0" b="0"/>
            <wp:docPr id="9002" name="Dartmouth Geisel School of Medicine logo" descr="Dartmouth Geisel School of Medic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 name="Dartmouth Geisel School of Medicine logo"/>
                    <pic:cNvPicPr/>
                  </pic:nvPicPr>
                  <pic:blipFill>
                    <a:blip r:embed="rId8"/>
                    <a:stretch>
                      <a:fillRect/>
                    </a:stretch>
                  </pic:blipFill>
                  <pic:spPr>
                    <a:xfrm>
                      <a:off x="0" y="0"/>
                      <a:ext cx="1664375" cy="566928"/>
                    </a:xfrm>
                    <a:prstGeom prst="rect">
                      <a:avLst/>
                    </a:prstGeom>
                  </pic:spPr>
                </pic:pic>
              </a:graphicData>
            </a:graphic>
          </wp:inline>
        </w:drawing>
      </w:r>
    </w:p>
    <w:p w:rsidR="00BE55D6" w:rsidRDefault="006C7415">
      <w:pPr>
        <w:spacing w:before="480" w:after="60"/>
      </w:pPr>
      <w:r>
        <w:rPr>
          <w:b/>
          <w:bCs/>
          <w:color w:val="00693E"/>
          <w:spacing w:val="30"/>
          <w:sz w:val="22"/>
          <w:szCs w:val="22"/>
        </w:rPr>
        <w:t>NEW HAMPSHIRE AHEC PROGRAM OFFICE</w:t>
      </w:r>
    </w:p>
    <w:p w:rsidR="00BE55D6" w:rsidRDefault="006C7415">
      <w:pPr>
        <w:spacing w:after="400"/>
      </w:pPr>
      <w:r>
        <w:rPr>
          <w:color w:val="5A5A5A"/>
        </w:rPr>
        <w:t>Geisel School of Medicine at Dartmouth</w:t>
      </w:r>
    </w:p>
    <w:p w:rsidR="00BE55D6" w:rsidRDefault="006C7415">
      <w:pPr>
        <w:spacing w:after="100"/>
      </w:pPr>
      <w:r>
        <w:rPr>
          <w:b/>
          <w:bCs/>
          <w:color w:val="12312B"/>
          <w:sz w:val="52"/>
          <w:szCs w:val="52"/>
        </w:rPr>
        <w:t>Health Careers Institute at Dartmouth (HCID) Impact Intern</w:t>
      </w:r>
    </w:p>
    <w:p w:rsidR="00BE55D6" w:rsidRDefault="006C7415">
      <w:pPr>
        <w:pBdr>
          <w:bottom w:val="single" w:sz="12" w:space="10" w:color="00693E"/>
        </w:pBdr>
        <w:spacing w:after="500"/>
      </w:pPr>
      <w:r>
        <w:rPr>
          <w:color w:val="5A5A5A"/>
          <w:sz w:val="26"/>
          <w:szCs w:val="26"/>
        </w:rPr>
        <w:t>Impact Intern Position Description</w:t>
      </w:r>
    </w:p>
    <w:p w:rsidR="00BE55D6" w:rsidRDefault="006C7415">
      <w:pPr>
        <w:spacing w:after="60" w:line="276" w:lineRule="auto"/>
      </w:pPr>
      <w:r>
        <w:rPr>
          <w:b/>
          <w:bCs/>
          <w:color w:val="12312B"/>
          <w:sz w:val="22"/>
          <w:szCs w:val="22"/>
        </w:rPr>
        <w:t>Academic Year 2026–2027</w:t>
      </w:r>
    </w:p>
    <w:p w:rsidR="00BE55D6" w:rsidRDefault="006C7415">
      <w:pPr>
        <w:spacing w:after="40" w:line="276" w:lineRule="auto"/>
      </w:pPr>
      <w:r>
        <w:rPr>
          <w:color w:val="5A5A5A"/>
          <w:sz w:val="20"/>
          <w:szCs w:val="20"/>
        </w:rPr>
        <w:t>Cooperative Agreement U77HP03627 · Health Resources and Services Administration</w:t>
      </w:r>
    </w:p>
    <w:p w:rsidR="00BE55D6" w:rsidRDefault="006C7415">
      <w:pPr>
        <w:spacing w:after="40" w:line="276" w:lineRule="auto"/>
      </w:pPr>
      <w:r>
        <w:rPr>
          <w:color w:val="5A5A5A"/>
          <w:sz w:val="20"/>
          <w:szCs w:val="20"/>
        </w:rPr>
        <w:t>Bureau of Health Workforce · Area Health Education Centers Program</w:t>
      </w:r>
    </w:p>
    <w:p w:rsidR="00BE55D6" w:rsidRDefault="006C7415">
      <w:pPr>
        <w:spacing w:after="600" w:line="276" w:lineRule="auto"/>
      </w:pPr>
      <w:r>
        <w:rPr>
          <w:color w:val="5A5A5A"/>
          <w:sz w:val="20"/>
          <w:szCs w:val="20"/>
        </w:rPr>
        <w:t>Trustees of Dartmouth College</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2600"/>
        <w:gridCol w:w="7480"/>
      </w:tblGrid>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Placement portfolio</w:t>
            </w:r>
          </w:p>
        </w:tc>
        <w:tc>
          <w:tcPr>
            <w:tcW w:w="7480" w:type="dxa"/>
            <w:tcMar>
              <w:top w:w="90" w:type="dxa"/>
              <w:left w:w="130" w:type="dxa"/>
              <w:bottom w:w="90" w:type="dxa"/>
              <w:right w:w="130" w:type="dxa"/>
            </w:tcMar>
          </w:tcPr>
          <w:p w:rsidR="00BE55D6" w:rsidRDefault="006C7415">
            <w:pPr>
              <w:spacing w:line="264" w:lineRule="auto"/>
            </w:pPr>
            <w:r>
              <w:rPr>
                <w:sz w:val="19"/>
                <w:szCs w:val="19"/>
              </w:rPr>
              <w:t>Residential program logistics, participant communication, session support, and post-program follow-up</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Supervising position</w:t>
            </w:r>
          </w:p>
        </w:tc>
        <w:tc>
          <w:tcPr>
            <w:tcW w:w="7480" w:type="dxa"/>
            <w:tcMar>
              <w:top w:w="90" w:type="dxa"/>
              <w:left w:w="130" w:type="dxa"/>
              <w:bottom w:w="90" w:type="dxa"/>
              <w:right w:w="130" w:type="dxa"/>
            </w:tcMar>
          </w:tcPr>
          <w:p w:rsidR="00BE55D6" w:rsidRDefault="005820B6">
            <w:pPr>
              <w:spacing w:line="264" w:lineRule="auto"/>
            </w:pPr>
            <w:r>
              <w:rPr>
                <w:sz w:val="19"/>
                <w:szCs w:val="19"/>
              </w:rPr>
              <w:t xml:space="preserve">Director / PI </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Basis</w:t>
            </w:r>
          </w:p>
        </w:tc>
        <w:tc>
          <w:tcPr>
            <w:tcW w:w="7480" w:type="dxa"/>
            <w:tcMar>
              <w:top w:w="90" w:type="dxa"/>
              <w:left w:w="130" w:type="dxa"/>
              <w:bottom w:w="90" w:type="dxa"/>
              <w:right w:w="130" w:type="dxa"/>
            </w:tcMar>
          </w:tcPr>
          <w:p w:rsidR="00BE55D6" w:rsidRDefault="006C7415">
            <w:pPr>
              <w:spacing w:line="264" w:lineRule="auto"/>
            </w:pPr>
            <w:r>
              <w:rPr>
                <w:sz w:val="19"/>
                <w:szCs w:val="19"/>
              </w:rPr>
              <w:t>Uncompensated experiential learning placement; not an employment relationship</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Term of service</w:t>
            </w:r>
          </w:p>
        </w:tc>
        <w:tc>
          <w:tcPr>
            <w:tcW w:w="7480" w:type="dxa"/>
            <w:tcMar>
              <w:top w:w="90" w:type="dxa"/>
              <w:left w:w="130" w:type="dxa"/>
              <w:bottom w:w="90" w:type="dxa"/>
              <w:right w:w="130" w:type="dxa"/>
            </w:tcMar>
          </w:tcPr>
          <w:p w:rsidR="00BE55D6" w:rsidRDefault="006C7415">
            <w:pPr>
              <w:spacing w:line="264" w:lineRule="auto"/>
            </w:pPr>
            <w:r>
              <w:rPr>
                <w:sz w:val="19"/>
                <w:szCs w:val="19"/>
              </w:rPr>
              <w:t>Nine, twelve, or eighteen months, selected at the outset and fixed in the placement agreement</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Recommended term</w:t>
            </w:r>
          </w:p>
        </w:tc>
        <w:tc>
          <w:tcPr>
            <w:tcW w:w="7480" w:type="dxa"/>
            <w:tcMar>
              <w:top w:w="90" w:type="dxa"/>
              <w:left w:w="130" w:type="dxa"/>
              <w:bottom w:w="90" w:type="dxa"/>
              <w:right w:w="130" w:type="dxa"/>
            </w:tcMar>
          </w:tcPr>
          <w:p w:rsidR="00BE55D6" w:rsidRDefault="006C7415">
            <w:pPr>
              <w:spacing w:line="264" w:lineRule="auto"/>
            </w:pPr>
            <w:r>
              <w:rPr>
                <w:sz w:val="19"/>
                <w:szCs w:val="19"/>
              </w:rPr>
              <w:t>Twelve months. HCID runs on a twelve-month cycle in which delivery occupies one week and preparation occupies the other fifty-one. A nine-month term is workable for an intern focused on the application and selection phases only.</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Effort</w:t>
            </w:r>
          </w:p>
        </w:tc>
        <w:tc>
          <w:tcPr>
            <w:tcW w:w="7480" w:type="dxa"/>
            <w:tcMar>
              <w:top w:w="90" w:type="dxa"/>
              <w:left w:w="130" w:type="dxa"/>
              <w:bottom w:w="90" w:type="dxa"/>
              <w:right w:w="130" w:type="dxa"/>
            </w:tcMar>
          </w:tcPr>
          <w:p w:rsidR="00BE55D6" w:rsidRDefault="006C7415">
            <w:pPr>
              <w:spacing w:line="264" w:lineRule="auto"/>
            </w:pPr>
            <w:r>
              <w:rPr>
                <w:sz w:val="19"/>
                <w:szCs w:val="19"/>
              </w:rPr>
              <w:t>8–10 hours per week, scheduled around the intern's academic obligations</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Location</w:t>
            </w:r>
          </w:p>
        </w:tc>
        <w:tc>
          <w:tcPr>
            <w:tcW w:w="7480" w:type="dxa"/>
            <w:tcMar>
              <w:top w:w="90" w:type="dxa"/>
              <w:left w:w="130" w:type="dxa"/>
              <w:bottom w:w="90" w:type="dxa"/>
              <w:right w:w="130" w:type="dxa"/>
            </w:tcMar>
          </w:tcPr>
          <w:p w:rsidR="00BE55D6" w:rsidRDefault="006C7415">
            <w:pPr>
              <w:spacing w:line="264" w:lineRule="auto"/>
            </w:pPr>
            <w:r>
              <w:rPr>
                <w:sz w:val="19"/>
                <w:szCs w:val="19"/>
              </w:rPr>
              <w:t>Hybrid. Program Office, Geisel School of Medicine at Dartmouth, with remote work as approved</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Eligible</w:t>
            </w:r>
          </w:p>
        </w:tc>
        <w:tc>
          <w:tcPr>
            <w:tcW w:w="7480" w:type="dxa"/>
            <w:tcMar>
              <w:top w:w="90" w:type="dxa"/>
              <w:left w:w="130" w:type="dxa"/>
              <w:bottom w:w="90" w:type="dxa"/>
              <w:right w:w="130" w:type="dxa"/>
            </w:tcMar>
          </w:tcPr>
          <w:p w:rsidR="00BE55D6" w:rsidRDefault="006C7415">
            <w:pPr>
              <w:spacing w:line="264" w:lineRule="auto"/>
            </w:pPr>
            <w:r>
              <w:rPr>
                <w:sz w:val="19"/>
                <w:szCs w:val="19"/>
              </w:rPr>
              <w:t>Graduate and professional students and recent graduates (within two years of degree completion)</w:t>
            </w:r>
          </w:p>
        </w:tc>
      </w:tr>
    </w:tbl>
    <w:p w:rsidR="00BE55D6" w:rsidRDefault="006C7415">
      <w:pPr>
        <w:pStyle w:val="Heading2"/>
        <w:spacing w:before="260" w:after="120"/>
      </w:pPr>
      <w:r>
        <w:rPr>
          <w:b/>
          <w:bCs/>
          <w:color w:val="12312B"/>
          <w:sz w:val="24"/>
          <w:szCs w:val="24"/>
        </w:rPr>
        <w:t>Position Summary</w:t>
      </w:r>
    </w:p>
    <w:p w:rsidR="00BE55D6" w:rsidRDefault="006C7415">
      <w:pPr>
        <w:spacing w:after="140" w:line="276" w:lineRule="auto"/>
      </w:pPr>
      <w:r>
        <w:t xml:space="preserve">The Health Careers Institute at Dartmouth is a one-week residential program for rising high school sophomores, juniors and seniors. It runs on a twelve-month cycle in which delivery occupies a single week and preparation </w:t>
      </w:r>
      <w:r>
        <w:lastRenderedPageBreak/>
        <w:t>occupies the remaining fifty-one. The HCID Impact Intern works within that cycle, and the specific work depends on when the placement falls within it.</w:t>
      </w:r>
    </w:p>
    <w:p w:rsidR="00BE55D6" w:rsidRDefault="006C7415">
      <w:pPr>
        <w:spacing w:after="140" w:line="276" w:lineRule="auto"/>
      </w:pPr>
      <w:r>
        <w:t>The 2027 program is delivered July 12 to 17 and includes a clinical immersion day at Alice Peck Day Memorial Hospital, simulation center rotations, laboratory experiences in cognitive science, biological sciences, and anthropology, a human gross anatomy laboratory, a mock admissions committee, and a closing showcase. Coordinating an experience of that scope for a residential cohort of minors requires careful attention to detail, and the intern contributes materially to whether it goes well.</w:t>
      </w:r>
    </w:p>
    <w:p w:rsidR="00BE55D6" w:rsidRDefault="006C7415">
      <w:pPr>
        <w:spacing w:after="140" w:line="276" w:lineRule="auto"/>
      </w:pPr>
      <w:r>
        <w:t>This placement suits someone interested in pipeline programming, pre-health advising, youth development, or residential program administration. Interns working the summer term should expect the program week itself to be demanding and intensive, with a schedule agreed well in advance.</w:t>
      </w:r>
    </w:p>
    <w:p w:rsidR="00BE55D6" w:rsidRDefault="006C7415">
      <w:pPr>
        <w:pStyle w:val="Heading2"/>
        <w:spacing w:before="260" w:after="120"/>
      </w:pPr>
      <w:r>
        <w:rPr>
          <w:b/>
          <w:bCs/>
          <w:color w:val="12312B"/>
          <w:sz w:val="24"/>
          <w:szCs w:val="24"/>
        </w:rPr>
        <w:t>Responsibilities</w:t>
      </w:r>
    </w:p>
    <w:p w:rsidR="00BE55D6" w:rsidRDefault="006C7415">
      <w:pPr>
        <w:pStyle w:val="ListParagraph"/>
        <w:numPr>
          <w:ilvl w:val="0"/>
          <w:numId w:val="2"/>
        </w:numPr>
        <w:spacing w:after="70" w:line="276" w:lineRule="auto"/>
      </w:pPr>
      <w:r>
        <w:t>Support the application cycle, including portal readiness, information sessions for students and families, applicant inquiries, and completeness tracking.</w:t>
      </w:r>
    </w:p>
    <w:p w:rsidR="00BE55D6" w:rsidRDefault="006C7415">
      <w:pPr>
        <w:pStyle w:val="ListParagraph"/>
        <w:numPr>
          <w:ilvl w:val="0"/>
          <w:numId w:val="2"/>
        </w:numPr>
        <w:spacing w:after="70" w:line="276" w:lineRule="auto"/>
      </w:pPr>
      <w:r>
        <w:t>Assist the review committee with preparation of materials for holistic review, and support notification, waitlist management, and enrollment confirmation.</w:t>
      </w:r>
    </w:p>
    <w:p w:rsidR="00BE55D6" w:rsidRDefault="006C7415">
      <w:pPr>
        <w:pStyle w:val="ListParagraph"/>
        <w:numPr>
          <w:ilvl w:val="0"/>
          <w:numId w:val="2"/>
        </w:numPr>
        <w:spacing w:after="70" w:line="276" w:lineRule="auto"/>
      </w:pPr>
      <w:r>
        <w:t>Support development of participant materials, including session descriptions, the community agreements, daily reflection packets, the cover page, and the welcome letter, maintaining a consistent visual identity.</w:t>
      </w:r>
    </w:p>
    <w:p w:rsidR="00BE55D6" w:rsidRDefault="006C7415">
      <w:pPr>
        <w:pStyle w:val="ListParagraph"/>
        <w:numPr>
          <w:ilvl w:val="0"/>
          <w:numId w:val="2"/>
        </w:numPr>
        <w:spacing w:after="70" w:line="276" w:lineRule="auto"/>
      </w:pPr>
      <w:r>
        <w:t>Assist with residential logistics, including housing assignments, dining, transportation, clinical site scheduling, supplies, and emergency procedures.</w:t>
      </w:r>
    </w:p>
    <w:p w:rsidR="00BE55D6" w:rsidRDefault="006C7415">
      <w:pPr>
        <w:pStyle w:val="ListParagraph"/>
        <w:numPr>
          <w:ilvl w:val="0"/>
          <w:numId w:val="2"/>
        </w:numPr>
        <w:spacing w:after="70" w:line="276" w:lineRule="auto"/>
      </w:pPr>
      <w:r>
        <w:t>Support collection and tracking of health, safety, and consent documentation for participating minors.</w:t>
      </w:r>
    </w:p>
    <w:p w:rsidR="00BE55D6" w:rsidRDefault="006C7415">
      <w:pPr>
        <w:pStyle w:val="ListParagraph"/>
        <w:numPr>
          <w:ilvl w:val="0"/>
          <w:numId w:val="2"/>
        </w:numPr>
        <w:spacing w:after="70" w:line="276" w:lineRule="auto"/>
      </w:pPr>
      <w:r>
        <w:t>Assist with mentor and residential staff recruitment, onboarding materials, and training preparation.</w:t>
      </w:r>
    </w:p>
    <w:p w:rsidR="00BE55D6" w:rsidRDefault="006C7415">
      <w:pPr>
        <w:pStyle w:val="ListParagraph"/>
        <w:numPr>
          <w:ilvl w:val="0"/>
          <w:numId w:val="2"/>
        </w:numPr>
        <w:spacing w:after="70" w:line="276" w:lineRule="auto"/>
      </w:pPr>
      <w:r>
        <w:t>Provide on-site session support during the program week, including setup, materials distribution, attendance, and coordination between concurrent rotations.</w:t>
      </w:r>
    </w:p>
    <w:p w:rsidR="00BE55D6" w:rsidRDefault="006C7415">
      <w:pPr>
        <w:pStyle w:val="ListParagraph"/>
        <w:numPr>
          <w:ilvl w:val="0"/>
          <w:numId w:val="2"/>
        </w:numPr>
        <w:spacing w:after="70" w:line="276" w:lineRule="auto"/>
      </w:pPr>
      <w:r>
        <w:t>Support close-out, including participant certificates, exit surveys, mentor stipend processing, and facility reconciliation.</w:t>
      </w:r>
    </w:p>
    <w:p w:rsidR="00BE55D6" w:rsidRDefault="006C7415">
      <w:pPr>
        <w:pStyle w:val="ListParagraph"/>
        <w:numPr>
          <w:ilvl w:val="0"/>
          <w:numId w:val="2"/>
        </w:numPr>
        <w:spacing w:after="70" w:line="276" w:lineRule="auto"/>
      </w:pPr>
      <w:r>
        <w:t>Assist with post-program evaluation and with outcome tracking that follows participants beyond the program week and connects them to the wider AHEC pathway.</w:t>
      </w:r>
    </w:p>
    <w:p w:rsidR="00BE55D6" w:rsidRDefault="006C7415">
      <w:pPr>
        <w:pStyle w:val="Heading2"/>
        <w:spacing w:before="260" w:after="120"/>
      </w:pPr>
      <w:r>
        <w:rPr>
          <w:b/>
          <w:bCs/>
          <w:color w:val="12312B"/>
          <w:sz w:val="24"/>
          <w:szCs w:val="24"/>
        </w:rPr>
        <w:t>Representative Deliverables</w:t>
      </w:r>
    </w:p>
    <w:p w:rsidR="00BE55D6" w:rsidRDefault="006C7415">
      <w:pPr>
        <w:spacing w:after="120" w:line="276" w:lineRule="auto"/>
      </w:pPr>
      <w:r>
        <w:t>Each placement produces work the intern can name and describe when applying for positions or fellowships. Deliverables are agreed at the start of the term and reviewed by the supervising position before they enter any program record.</w:t>
      </w:r>
    </w:p>
    <w:p w:rsidR="00BE55D6" w:rsidRDefault="006C7415">
      <w:pPr>
        <w:pStyle w:val="ListParagraph"/>
        <w:numPr>
          <w:ilvl w:val="0"/>
          <w:numId w:val="2"/>
        </w:numPr>
        <w:spacing w:after="70" w:line="276" w:lineRule="auto"/>
      </w:pPr>
      <w:r>
        <w:t>A finalized participant folder packet ready for distribution at check-in.</w:t>
      </w:r>
    </w:p>
    <w:p w:rsidR="00BE55D6" w:rsidRDefault="006C7415">
      <w:pPr>
        <w:pStyle w:val="ListParagraph"/>
        <w:numPr>
          <w:ilvl w:val="0"/>
          <w:numId w:val="2"/>
        </w:numPr>
        <w:spacing w:after="70" w:line="276" w:lineRule="auto"/>
      </w:pPr>
      <w:r>
        <w:t>A complete operations plan or logistics tracker covering housing, transportation, dining, and site scheduling.</w:t>
      </w:r>
    </w:p>
    <w:p w:rsidR="00BE55D6" w:rsidRDefault="006C7415">
      <w:pPr>
        <w:pStyle w:val="ListParagraph"/>
        <w:numPr>
          <w:ilvl w:val="0"/>
          <w:numId w:val="2"/>
        </w:numPr>
        <w:spacing w:after="70" w:line="276" w:lineRule="auto"/>
      </w:pPr>
      <w:r>
        <w:t>A recruitment or information package directed at high schools, counselors, and families.</w:t>
      </w:r>
    </w:p>
    <w:p w:rsidR="00BE55D6" w:rsidRDefault="006C7415">
      <w:pPr>
        <w:pStyle w:val="ListParagraph"/>
        <w:numPr>
          <w:ilvl w:val="0"/>
          <w:numId w:val="2"/>
        </w:numPr>
        <w:spacing w:after="70" w:line="276" w:lineRule="auto"/>
      </w:pPr>
      <w:r>
        <w:t>A contribution to the post-program evaluation report and its recommendations for the following cycle.</w:t>
      </w:r>
    </w:p>
    <w:p w:rsidR="00BE55D6" w:rsidRDefault="006C7415">
      <w:pPr>
        <w:pStyle w:val="Heading2"/>
        <w:spacing w:before="260" w:after="120"/>
      </w:pPr>
      <w:r>
        <w:rPr>
          <w:b/>
          <w:bCs/>
          <w:color w:val="12312B"/>
          <w:sz w:val="24"/>
          <w:szCs w:val="24"/>
        </w:rPr>
        <w:t>Learning Objectives</w:t>
      </w:r>
    </w:p>
    <w:p w:rsidR="00BE55D6" w:rsidRDefault="006C7415">
      <w:pPr>
        <w:spacing w:after="120" w:line="276" w:lineRule="auto"/>
      </w:pPr>
      <w:r>
        <w:t>By the conclusion of the placement, the intern will be able to:</w:t>
      </w:r>
    </w:p>
    <w:p w:rsidR="00BE55D6" w:rsidRDefault="006C7415">
      <w:pPr>
        <w:pStyle w:val="ListParagraph"/>
        <w:numPr>
          <w:ilvl w:val="0"/>
          <w:numId w:val="2"/>
        </w:numPr>
        <w:spacing w:after="70" w:line="276" w:lineRule="auto"/>
      </w:pPr>
      <w:r>
        <w:lastRenderedPageBreak/>
        <w:t>Describe the full annual cycle of a residential youth program and explain why preparation rather than delivery occupies most of it.</w:t>
      </w:r>
    </w:p>
    <w:p w:rsidR="00BE55D6" w:rsidRDefault="006C7415">
      <w:pPr>
        <w:pStyle w:val="ListParagraph"/>
        <w:numPr>
          <w:ilvl w:val="0"/>
          <w:numId w:val="2"/>
        </w:numPr>
        <w:spacing w:after="70" w:line="276" w:lineRule="auto"/>
      </w:pPr>
      <w:r>
        <w:t>Apply the operational, safety, and consent requirements attached to programming for minors in a residential setting.</w:t>
      </w:r>
    </w:p>
    <w:p w:rsidR="00BE55D6" w:rsidRDefault="006C7415">
      <w:pPr>
        <w:pStyle w:val="ListParagraph"/>
        <w:numPr>
          <w:ilvl w:val="0"/>
          <w:numId w:val="2"/>
        </w:numPr>
        <w:spacing w:after="70" w:line="276" w:lineRule="auto"/>
      </w:pPr>
      <w:r>
        <w:t>Coordinate logistics across academic, clinical, residential, and dining partners on a fixed and unmovable date.</w:t>
      </w:r>
    </w:p>
    <w:p w:rsidR="00BE55D6" w:rsidRDefault="006C7415">
      <w:pPr>
        <w:pStyle w:val="ListParagraph"/>
        <w:numPr>
          <w:ilvl w:val="0"/>
          <w:numId w:val="2"/>
        </w:numPr>
        <w:spacing w:after="70" w:line="276" w:lineRule="auto"/>
      </w:pPr>
      <w:r>
        <w:t>Contribute to a holistic review process and explain what it is designed to identify.</w:t>
      </w:r>
    </w:p>
    <w:p w:rsidR="00BE55D6" w:rsidRDefault="006C7415">
      <w:pPr>
        <w:pStyle w:val="ListParagraph"/>
        <w:numPr>
          <w:ilvl w:val="0"/>
          <w:numId w:val="2"/>
        </w:numPr>
        <w:spacing w:after="70" w:line="276" w:lineRule="auto"/>
      </w:pPr>
      <w:r>
        <w:t>Evaluate a short-duration program and translate findings into specific recommendations for the next cycle.</w:t>
      </w:r>
    </w:p>
    <w:p w:rsidR="00BE55D6" w:rsidRDefault="006C7415">
      <w:pPr>
        <w:pStyle w:val="Heading3"/>
        <w:spacing w:before="200" w:after="90"/>
      </w:pPr>
      <w:r>
        <w:rPr>
          <w:b/>
          <w:bCs/>
          <w:color w:val="00693E"/>
          <w:sz w:val="21"/>
          <w:szCs w:val="21"/>
        </w:rPr>
        <w:t>Competency alignment</w:t>
      </w:r>
    </w:p>
    <w:p w:rsidR="00BE55D6" w:rsidRDefault="006C7415">
      <w:pPr>
        <w:spacing w:after="140" w:line="276" w:lineRule="auto"/>
      </w:pPr>
      <w:r>
        <w:t>This placement aligns with the CEPH foundational competencies addressing program planning and implementation, assessment of population needs and assets, cultural humility in program design, and audience-appropriate communication. It is well suited to an Applied Practice Experience. Final competency mapping is confirmed with the intern's academic program before the term begins.</w:t>
      </w:r>
    </w:p>
    <w:p w:rsidR="00BE55D6" w:rsidRDefault="006C7415">
      <w:pPr>
        <w:pStyle w:val="Heading2"/>
        <w:spacing w:before="260" w:after="120"/>
      </w:pPr>
      <w:r>
        <w:rPr>
          <w:b/>
          <w:bCs/>
          <w:color w:val="12312B"/>
          <w:sz w:val="24"/>
          <w:szCs w:val="24"/>
        </w:rPr>
        <w:t>Qualifications</w:t>
      </w:r>
    </w:p>
    <w:p w:rsidR="00BE55D6" w:rsidRDefault="006C7415">
      <w:pPr>
        <w:pStyle w:val="Heading3"/>
        <w:spacing w:before="200" w:after="90"/>
      </w:pPr>
      <w:r>
        <w:rPr>
          <w:b/>
          <w:bCs/>
          <w:color w:val="00693E"/>
          <w:sz w:val="21"/>
          <w:szCs w:val="21"/>
        </w:rPr>
        <w:t>Required</w:t>
      </w:r>
    </w:p>
    <w:p w:rsidR="00BE55D6" w:rsidRDefault="006C7415">
      <w:pPr>
        <w:pStyle w:val="ListParagraph"/>
        <w:numPr>
          <w:ilvl w:val="0"/>
          <w:numId w:val="2"/>
        </w:numPr>
        <w:spacing w:after="70" w:line="276" w:lineRule="auto"/>
      </w:pPr>
      <w:r>
        <w:t>Current enrollment in a graduate or professional degree program, or completion of such a degree within the past two years.</w:t>
      </w:r>
    </w:p>
    <w:p w:rsidR="00BE55D6" w:rsidRDefault="006C7415">
      <w:pPr>
        <w:pStyle w:val="ListParagraph"/>
        <w:numPr>
          <w:ilvl w:val="0"/>
          <w:numId w:val="2"/>
        </w:numPr>
        <w:spacing w:after="70" w:line="276" w:lineRule="auto"/>
      </w:pPr>
      <w:r>
        <w:t>Demonstrated organizational reliability under a fixed deadline, and comfort managing many concurrent details.</w:t>
      </w:r>
    </w:p>
    <w:p w:rsidR="00BE55D6" w:rsidRDefault="006C7415">
      <w:pPr>
        <w:pStyle w:val="ListParagraph"/>
        <w:numPr>
          <w:ilvl w:val="0"/>
          <w:numId w:val="2"/>
        </w:numPr>
        <w:spacing w:after="70" w:line="276" w:lineRule="auto"/>
      </w:pPr>
      <w:r>
        <w:t>Ability to communicate warmly and clearly with high school students and their families.</w:t>
      </w:r>
    </w:p>
    <w:p w:rsidR="00BE55D6" w:rsidRDefault="006C7415">
      <w:pPr>
        <w:pStyle w:val="ListParagraph"/>
        <w:numPr>
          <w:ilvl w:val="0"/>
          <w:numId w:val="2"/>
        </w:numPr>
        <w:spacing w:after="70" w:line="276" w:lineRule="auto"/>
      </w:pPr>
      <w:r>
        <w:t>Willingness to complete a background check and any training required for work with minors.</w:t>
      </w:r>
    </w:p>
    <w:p w:rsidR="00BE55D6" w:rsidRDefault="006C7415">
      <w:pPr>
        <w:pStyle w:val="Heading3"/>
        <w:spacing w:before="200" w:after="90"/>
      </w:pPr>
      <w:r>
        <w:rPr>
          <w:b/>
          <w:bCs/>
          <w:color w:val="00693E"/>
          <w:sz w:val="21"/>
          <w:szCs w:val="21"/>
        </w:rPr>
        <w:t>Preferred</w:t>
      </w:r>
    </w:p>
    <w:p w:rsidR="00BE55D6" w:rsidRDefault="006C7415">
      <w:pPr>
        <w:pStyle w:val="ListParagraph"/>
        <w:numPr>
          <w:ilvl w:val="0"/>
          <w:numId w:val="2"/>
        </w:numPr>
        <w:spacing w:after="70" w:line="276" w:lineRule="auto"/>
      </w:pPr>
      <w:r>
        <w:t>Experience with residential programs, summer programs, camps, orientation, or youth development.</w:t>
      </w:r>
    </w:p>
    <w:p w:rsidR="00BE55D6" w:rsidRDefault="006C7415">
      <w:pPr>
        <w:pStyle w:val="ListParagraph"/>
        <w:numPr>
          <w:ilvl w:val="0"/>
          <w:numId w:val="2"/>
        </w:numPr>
        <w:spacing w:after="70" w:line="276" w:lineRule="auto"/>
      </w:pPr>
      <w:r>
        <w:t>Experience in pre-health advising, admissions, or college access programming.</w:t>
      </w:r>
    </w:p>
    <w:p w:rsidR="00BE55D6" w:rsidRDefault="006C7415">
      <w:pPr>
        <w:pStyle w:val="ListParagraph"/>
        <w:numPr>
          <w:ilvl w:val="0"/>
          <w:numId w:val="2"/>
        </w:numPr>
        <w:spacing w:after="70" w:line="276" w:lineRule="auto"/>
      </w:pPr>
      <w:r>
        <w:t>Comfort with design tools for participant-facing materials.</w:t>
      </w:r>
    </w:p>
    <w:p w:rsidR="00BE55D6" w:rsidRDefault="006C7415">
      <w:pPr>
        <w:pStyle w:val="ListParagraph"/>
        <w:numPr>
          <w:ilvl w:val="0"/>
          <w:numId w:val="2"/>
        </w:numPr>
        <w:spacing w:after="70" w:line="276" w:lineRule="auto"/>
      </w:pPr>
      <w:r>
        <w:t>Personal or professional connection to rural communities or to communities historically underrepresented in the health professions.</w:t>
      </w:r>
    </w:p>
    <w:p w:rsidR="00C9409B" w:rsidRDefault="00C9409B" w:rsidP="00C9409B">
      <w:pPr>
        <w:pStyle w:val="ListParagraph"/>
        <w:numPr>
          <w:ilvl w:val="0"/>
          <w:numId w:val="2"/>
        </w:numPr>
        <w:spacing w:after="70" w:line="276" w:lineRule="auto"/>
      </w:pPr>
      <w:r>
        <w:t>Availability during the program week of July 12–17, 2027 for any term of service that spans it.</w:t>
      </w:r>
    </w:p>
    <w:p w:rsidR="00C9409B" w:rsidRDefault="00C9409B" w:rsidP="00C9409B">
      <w:pPr>
        <w:spacing w:after="70" w:line="276" w:lineRule="auto"/>
        <w:ind w:left="172"/>
      </w:pPr>
    </w:p>
    <w:p w:rsidR="00BE55D6" w:rsidRDefault="006C7415">
      <w:r>
        <w:br w:type="page"/>
      </w:r>
    </w:p>
    <w:p w:rsidR="00BE55D6" w:rsidRDefault="006C7415">
      <w:pPr>
        <w:pStyle w:val="Heading1"/>
        <w:pBdr>
          <w:bottom w:val="single" w:sz="10" w:space="6" w:color="00693E"/>
        </w:pBdr>
        <w:spacing w:before="320" w:after="180"/>
      </w:pPr>
      <w:r>
        <w:rPr>
          <w:b/>
          <w:bCs/>
          <w:color w:val="00693E"/>
          <w:sz w:val="30"/>
          <w:szCs w:val="30"/>
        </w:rPr>
        <w:lastRenderedPageBreak/>
        <w:t>About the Placements</w:t>
      </w:r>
    </w:p>
    <w:p w:rsidR="00BE55D6" w:rsidRDefault="006C7415">
      <w:pPr>
        <w:spacing w:after="140" w:line="276" w:lineRule="auto"/>
      </w:pPr>
      <w:r>
        <w:t>The New Hampshire AHEC Program Office at the Geisel School of Medicine holds the statewide cooperative agreement through which New Hampshire strengthens the supply, distribution, diversity, and quality of the health and public health workforce serving rural and underserved communities. The Program Office contracts with Northern NH AHEC and Southern NH AHEC to deliver community-based training within their regions, and it carries the statewide functions the award assigns to the recipient: evaluation, subrecipient monitoring, partnership development, the AHEC Scholars curriculum, and the youth pipeline.</w:t>
      </w:r>
    </w:p>
    <w:p w:rsidR="00BE55D6" w:rsidRDefault="006C7415">
      <w:pPr>
        <w:spacing w:after="140" w:line="276" w:lineRule="auto"/>
      </w:pPr>
      <w:r>
        <w:t>The Program Office maintains eight supervised Impact Intern placements, each with a defined portfolio and a named supervising position. The placements exist for two reasons that reinforce one another. The AHEC model develops the health and public health workforce through community-based experiential training, and a program office that provides structured, supervised placements in evaluation, community engagement, pipeline programming, and scholars administration is applying that model to its own operation. Interns gain documented experience in the field they intend to enter, and the program gains a recruitment pathway into the workforce it is funded to strengthen.</w:t>
      </w:r>
    </w:p>
    <w:p w:rsidR="00BE55D6" w:rsidRDefault="006C7415">
      <w:pPr>
        <w:spacing w:after="140" w:line="276" w:lineRule="auto"/>
      </w:pPr>
      <w:r>
        <w:t>These are learning placements rather than staffing solutions, and the number accepted in any term is set by the supervision the responsible position can genuinely provide rather than by the number of students seeking placement. Several placements align with the Applied Practice Experience requirements of graduate public health education, which allows the work to count toward degree completion.</w:t>
      </w:r>
    </w:p>
    <w:p w:rsidR="00BE55D6" w:rsidRDefault="006C7415">
      <w:pPr>
        <w:pStyle w:val="Heading2"/>
        <w:spacing w:before="260" w:after="120"/>
      </w:pPr>
      <w:r>
        <w:rPr>
          <w:b/>
          <w:bCs/>
          <w:color w:val="12312B"/>
          <w:sz w:val="24"/>
          <w:szCs w:val="24"/>
        </w:rPr>
        <w:t>Who These Placements Are For</w:t>
      </w:r>
    </w:p>
    <w:p w:rsidR="00BE55D6" w:rsidRDefault="006C7415">
      <w:pPr>
        <w:spacing w:after="140" w:line="276" w:lineRule="auto"/>
      </w:pPr>
      <w:r>
        <w:t>Seven of the eight positions are designed for graduate and professional students and for recent graduates within two years of degree completion. The Marketing and Communications placement is also open to undergraduate students, since its work draws on communication and design skills many undergraduates already bring. Applicants come from public health, medicine, nursing, physician assistant studies, health policy, education, social work, data science, communications, and related fields. Enrollment at Dartmouth is not required, and applicants from Franklin Pierce University, the University of New Hampshire, and other institutions are welcome.</w:t>
      </w:r>
    </w:p>
    <w:p w:rsidR="00BE55D6" w:rsidRDefault="006C7415">
      <w:pPr>
        <w:spacing w:after="140" w:line="276" w:lineRule="auto"/>
      </w:pPr>
      <w:r>
        <w:t>Recent graduates are eligible on the same terms as enrolled students. For a graduate entering a competitive application cycle for medical school, physician assistant programs, doctoral study, or a fellowship, a placement offers a defined portfolio, a named supervisor who can speak specifically to the work, and a deliverable that can be described concretely rather than in generalities.</w:t>
      </w:r>
    </w:p>
    <w:p w:rsidR="00BE55D6" w:rsidRDefault="006C7415">
      <w:pPr>
        <w:pStyle w:val="Heading2"/>
        <w:spacing w:before="260" w:after="120"/>
      </w:pPr>
      <w:r>
        <w:rPr>
          <w:b/>
          <w:bCs/>
          <w:color w:val="12312B"/>
          <w:sz w:val="24"/>
          <w:szCs w:val="24"/>
        </w:rPr>
        <w:t>Common Terms</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2900"/>
        <w:gridCol w:w="7180"/>
      </w:tblGrid>
      <w:tr w:rsidR="00BE55D6">
        <w:trPr>
          <w:tblHeader/>
        </w:trPr>
        <w:tc>
          <w:tcPr>
            <w:tcW w:w="29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Term</w:t>
            </w:r>
          </w:p>
        </w:tc>
        <w:tc>
          <w:tcPr>
            <w:tcW w:w="718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Provision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Compensation</w:t>
            </w:r>
          </w:p>
        </w:tc>
        <w:tc>
          <w:tcPr>
            <w:tcW w:w="7180" w:type="dxa"/>
            <w:tcMar>
              <w:top w:w="90" w:type="dxa"/>
              <w:left w:w="130" w:type="dxa"/>
              <w:bottom w:w="90" w:type="dxa"/>
              <w:right w:w="130" w:type="dxa"/>
            </w:tcMar>
          </w:tcPr>
          <w:p w:rsidR="00BE55D6" w:rsidRDefault="006C7415">
            <w:pPr>
              <w:spacing w:line="264" w:lineRule="auto"/>
            </w:pPr>
            <w:r>
              <w:rPr>
                <w:sz w:val="19"/>
                <w:szCs w:val="19"/>
              </w:rPr>
              <w:t>Placements are uncompensated and are structured as experiential learning rather than as employment. No salary or stipend is charged to the federal award for these positions.</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Term of service</w:t>
            </w:r>
          </w:p>
        </w:tc>
        <w:tc>
          <w:tcPr>
            <w:tcW w:w="7180" w:type="dxa"/>
            <w:tcMar>
              <w:top w:w="90" w:type="dxa"/>
              <w:left w:w="130" w:type="dxa"/>
              <w:bottom w:w="90" w:type="dxa"/>
              <w:right w:w="130" w:type="dxa"/>
            </w:tcMar>
          </w:tcPr>
          <w:p w:rsidR="00BE55D6" w:rsidRDefault="006C7415">
            <w:pPr>
              <w:spacing w:line="264" w:lineRule="auto"/>
            </w:pPr>
            <w:r>
              <w:rPr>
                <w:sz w:val="19"/>
                <w:szCs w:val="19"/>
              </w:rPr>
              <w:t>Nine, twelve, or eighteen months. The term is selected at the outset, and the start and end dates are fixed in the placement agreement.</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Effort</w:t>
            </w:r>
          </w:p>
        </w:tc>
        <w:tc>
          <w:tcPr>
            <w:tcW w:w="7180" w:type="dxa"/>
            <w:tcMar>
              <w:top w:w="90" w:type="dxa"/>
              <w:left w:w="130" w:type="dxa"/>
              <w:bottom w:w="90" w:type="dxa"/>
              <w:right w:w="130" w:type="dxa"/>
            </w:tcMar>
          </w:tcPr>
          <w:p w:rsidR="00BE55D6" w:rsidRDefault="006C7415">
            <w:pPr>
              <w:spacing w:line="264" w:lineRule="auto"/>
            </w:pPr>
            <w:r>
              <w:rPr>
                <w:sz w:val="19"/>
                <w:szCs w:val="19"/>
              </w:rPr>
              <w:t>Eight to ten hours per week across the full term, scheduled around the intern's academic obligations. Effort during peak program weeks is agreed in advance rather than assumed.</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Supervision</w:t>
            </w:r>
          </w:p>
        </w:tc>
        <w:tc>
          <w:tcPr>
            <w:tcW w:w="7180" w:type="dxa"/>
            <w:tcMar>
              <w:top w:w="90" w:type="dxa"/>
              <w:left w:w="130" w:type="dxa"/>
              <w:bottom w:w="90" w:type="dxa"/>
              <w:right w:w="130" w:type="dxa"/>
            </w:tcMar>
          </w:tcPr>
          <w:p w:rsidR="00BE55D6" w:rsidRDefault="006C7415">
            <w:pPr>
              <w:spacing w:line="264" w:lineRule="auto"/>
            </w:pPr>
            <w:r>
              <w:rPr>
                <w:sz w:val="19"/>
                <w:szCs w:val="19"/>
              </w:rPr>
              <w:t>A scheduled one-to-one meeting each week with the supervising position, plus participation in the weekly Program Office staff meeting.</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lastRenderedPageBreak/>
              <w:t>Learning agreement</w:t>
            </w:r>
          </w:p>
        </w:tc>
        <w:tc>
          <w:tcPr>
            <w:tcW w:w="7180" w:type="dxa"/>
            <w:tcMar>
              <w:top w:w="90" w:type="dxa"/>
              <w:left w:w="130" w:type="dxa"/>
              <w:bottom w:w="90" w:type="dxa"/>
              <w:right w:w="130" w:type="dxa"/>
            </w:tcMar>
          </w:tcPr>
          <w:p w:rsidR="00BE55D6" w:rsidRDefault="006C7415">
            <w:pPr>
              <w:spacing w:line="264" w:lineRule="auto"/>
            </w:pPr>
            <w:r>
              <w:rPr>
                <w:sz w:val="19"/>
                <w:szCs w:val="19"/>
              </w:rPr>
              <w:t>A written agreement at the outset states the portfolio, the learning objectives, the deliverables, the term, and the supervision schedule. It is signed by the intern and the supervising position.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Academic credit</w:t>
            </w:r>
          </w:p>
        </w:tc>
        <w:tc>
          <w:tcPr>
            <w:tcW w:w="7180" w:type="dxa"/>
            <w:tcMar>
              <w:top w:w="90" w:type="dxa"/>
              <w:left w:w="130" w:type="dxa"/>
              <w:bottom w:w="90" w:type="dxa"/>
              <w:right w:w="130" w:type="dxa"/>
            </w:tcMar>
          </w:tcPr>
          <w:p w:rsidR="00BE55D6" w:rsidRDefault="006C7415">
            <w:pPr>
              <w:spacing w:line="264" w:lineRule="auto"/>
            </w:pPr>
            <w:r>
              <w:rPr>
                <w:sz w:val="19"/>
                <w:szCs w:val="19"/>
              </w:rPr>
              <w:t>Placements may be structured to satisfy an Integrated Learning Experience, Applied Practice Experience, a practicum, an independent study, or a capstone. Academic requirements are confirmed with the intern's program before the term begins.</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Assessment</w:t>
            </w:r>
          </w:p>
        </w:tc>
        <w:tc>
          <w:tcPr>
            <w:tcW w:w="7180" w:type="dxa"/>
            <w:tcMar>
              <w:top w:w="90" w:type="dxa"/>
              <w:left w:w="130" w:type="dxa"/>
              <w:bottom w:w="90" w:type="dxa"/>
              <w:right w:w="130" w:type="dxa"/>
            </w:tcMar>
          </w:tcPr>
          <w:p w:rsidR="00BE55D6" w:rsidRDefault="006C7415">
            <w:pPr>
              <w:spacing w:line="264" w:lineRule="auto"/>
            </w:pPr>
            <w:r>
              <w:rPr>
                <w:sz w:val="19"/>
                <w:szCs w:val="19"/>
              </w:rPr>
              <w:t>A mid-term check-in and an end-of-term review, each documented. Interns receive written feedback and may request a letter of reference from the supervising position.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Systems and materials</w:t>
            </w:r>
          </w:p>
        </w:tc>
        <w:tc>
          <w:tcPr>
            <w:tcW w:w="7180" w:type="dxa"/>
            <w:tcMar>
              <w:top w:w="90" w:type="dxa"/>
              <w:left w:w="130" w:type="dxa"/>
              <w:bottom w:w="90" w:type="dxa"/>
              <w:right w:w="130" w:type="dxa"/>
            </w:tcMar>
          </w:tcPr>
          <w:p w:rsidR="00BE55D6" w:rsidRDefault="006C7415">
            <w:pPr>
              <w:spacing w:line="264" w:lineRule="auto"/>
            </w:pPr>
            <w:r>
              <w:rPr>
                <w:sz w:val="19"/>
                <w:szCs w:val="19"/>
              </w:rPr>
              <w:t>Interns receive the same access to systems, software, and program materials as professional staff, consistent with the technology and program operations domain of the budget.</w:t>
            </w:r>
          </w:p>
        </w:tc>
      </w:tr>
    </w:tbl>
    <w:p w:rsidR="00BE55D6" w:rsidRDefault="006C7415">
      <w:pPr>
        <w:pStyle w:val="Heading2"/>
        <w:spacing w:before="260" w:after="120"/>
      </w:pPr>
      <w:r>
        <w:rPr>
          <w:b/>
          <w:bCs/>
          <w:color w:val="12312B"/>
          <w:sz w:val="24"/>
          <w:szCs w:val="24"/>
        </w:rPr>
        <w:t>Term of Service</w:t>
      </w:r>
    </w:p>
    <w:p w:rsidR="00BE55D6" w:rsidRDefault="006C7415">
      <w:pPr>
        <w:spacing w:after="140" w:line="276" w:lineRule="auto"/>
      </w:pPr>
      <w:r>
        <w:t>Every Impact Intern serves a term of nine, twelve, or eighteen months. The three options reflect the different timelines of the eight portfolios. Some align with the academic year, while others follow the grant cycle or benefit from participation across two program cycles. The term is selected before the placement begins and is stated in the learning agreement, so that both the intern and the supervising position are planning against the same schedule.</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1800"/>
        <w:gridCol w:w="2500"/>
        <w:gridCol w:w="5780"/>
      </w:tblGrid>
      <w:tr w:rsidR="00BE55D6">
        <w:trPr>
          <w:tblHeader/>
        </w:trPr>
        <w:tc>
          <w:tcPr>
            <w:tcW w:w="18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Term</w:t>
            </w:r>
          </w:p>
        </w:tc>
        <w:tc>
          <w:tcPr>
            <w:tcW w:w="25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Typical Window</w:t>
            </w:r>
          </w:p>
        </w:tc>
        <w:tc>
          <w:tcPr>
            <w:tcW w:w="578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What the Term Makes Possible</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9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May</w:t>
            </w:r>
          </w:p>
        </w:tc>
        <w:tc>
          <w:tcPr>
            <w:tcW w:w="5780" w:type="dxa"/>
            <w:tcMar>
              <w:top w:w="90" w:type="dxa"/>
              <w:left w:w="130" w:type="dxa"/>
              <w:bottom w:w="90" w:type="dxa"/>
              <w:right w:w="130" w:type="dxa"/>
            </w:tcMar>
          </w:tcPr>
          <w:p w:rsidR="00BE55D6" w:rsidRDefault="006C7415">
            <w:pPr>
              <w:spacing w:line="264" w:lineRule="auto"/>
            </w:pPr>
            <w:r>
              <w:rPr>
                <w:sz w:val="19"/>
                <w:szCs w:val="19"/>
              </w:rPr>
              <w:t>Aligns with the academic year and suits an intern whose availability ends at graduation or at the start of a summer commitment. Covers a full recruitment, selection, and delivery arc for most portfolios, though it stops short of the summer term and the August reporting close.</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12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August</w:t>
            </w:r>
          </w:p>
        </w:tc>
        <w:tc>
          <w:tcPr>
            <w:tcW w:w="5780" w:type="dxa"/>
            <w:tcMar>
              <w:top w:w="90" w:type="dxa"/>
              <w:left w:w="130" w:type="dxa"/>
              <w:bottom w:w="90" w:type="dxa"/>
              <w:right w:w="130" w:type="dxa"/>
            </w:tcMar>
          </w:tcPr>
          <w:p w:rsidR="00BE55D6" w:rsidRDefault="006C7415">
            <w:pPr>
              <w:spacing w:line="264" w:lineRule="auto"/>
            </w:pPr>
            <w:r>
              <w:rPr>
                <w:sz w:val="19"/>
                <w:szCs w:val="19"/>
              </w:rPr>
              <w:t>Aligns with the grant year and carries the intern through one complete program cycle, including summer delivery, completion determinations, the annual performance report, and the August statewide retreat. This is the standard term and the one most portfolios are built around.</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18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the following February, or January through the following June</w:t>
            </w:r>
          </w:p>
        </w:tc>
        <w:tc>
          <w:tcPr>
            <w:tcW w:w="5780" w:type="dxa"/>
            <w:tcMar>
              <w:top w:w="90" w:type="dxa"/>
              <w:left w:w="130" w:type="dxa"/>
              <w:bottom w:w="90" w:type="dxa"/>
              <w:right w:w="130" w:type="dxa"/>
            </w:tcMar>
          </w:tcPr>
          <w:p w:rsidR="00BE55D6" w:rsidRDefault="006C7415">
            <w:pPr>
              <w:spacing w:line="264" w:lineRule="auto"/>
            </w:pPr>
            <w:r>
              <w:rPr>
                <w:sz w:val="19"/>
                <w:szCs w:val="19"/>
              </w:rPr>
              <w:t>Spans two cycles, which allows an intern to apply what the first cycle taught to the planning of the second. Suited to portfolios with longitudinal work, to interns contributing to the competing continuation application, and to recent graduates in a defined gap period before further training.</w:t>
            </w:r>
          </w:p>
        </w:tc>
      </w:tr>
    </w:tbl>
    <w:p w:rsidR="00BE55D6" w:rsidRDefault="006C7415">
      <w:pPr>
        <w:spacing w:before="100" w:after="140" w:line="276" w:lineRule="auto"/>
      </w:pPr>
      <w:r>
        <w:t>Nine- and twelve-month terms may begin at other points in the year where the portfolio and the supervising position can support it. A term may be extended once, from nine months to twelve or from twelve to eighteen, by written amendment to the learning agreement and with the agreement of both the intern and the supervising position. Terms are not shortened after the fact except for cause or for a change in the intern's academic or personal circumstances, since the portfolios are assigned on the assumption that the term will be completed.</w:t>
      </w:r>
    </w:p>
    <w:p w:rsidR="00BE55D6" w:rsidRDefault="006C7415">
      <w:pPr>
        <w:pStyle w:val="Heading2"/>
        <w:spacing w:before="260" w:after="120"/>
      </w:pPr>
      <w:r>
        <w:rPr>
          <w:b/>
          <w:bCs/>
          <w:color w:val="12312B"/>
          <w:sz w:val="24"/>
          <w:szCs w:val="24"/>
        </w:rPr>
        <w:t>Scope of Intern Work</w:t>
      </w:r>
    </w:p>
    <w:p w:rsidR="00BE55D6" w:rsidRDefault="006C7415">
      <w:pPr>
        <w:spacing w:after="140" w:line="276" w:lineRule="auto"/>
      </w:pPr>
      <w:r>
        <w:t>The boundary below is stated deliberately, because placements extend the reach of the professional positions without substituting for them. Every applicant should understand it before applying, and every supervisor is accountable for holding it.</w:t>
      </w:r>
    </w:p>
    <w:p w:rsidR="00BE55D6" w:rsidRDefault="006C7415">
      <w:pPr>
        <w:pStyle w:val="ListParagraph"/>
        <w:numPr>
          <w:ilvl w:val="0"/>
          <w:numId w:val="2"/>
        </w:numPr>
        <w:spacing w:after="70" w:line="276" w:lineRule="auto"/>
      </w:pPr>
      <w:r>
        <w:lastRenderedPageBreak/>
        <w:t>Functions carrying compliance, fiscal, or reporting consequence remain with the five budgeted professional positions. These include subrecipient monitoring determinations, federal reporting submissions, evaluation design, and the execution of center agreements.</w:t>
      </w:r>
    </w:p>
    <w:p w:rsidR="00BE55D6" w:rsidRDefault="006C7415">
      <w:pPr>
        <w:pStyle w:val="ListParagraph"/>
        <w:numPr>
          <w:ilvl w:val="0"/>
          <w:numId w:val="2"/>
        </w:numPr>
        <w:spacing w:after="70" w:line="276" w:lineRule="auto"/>
      </w:pPr>
      <w:r>
        <w:t>Work performed within a placement is reviewed and approved by the supervising position before it enters any program record or federal submission.</w:t>
      </w:r>
    </w:p>
    <w:p w:rsidR="00BE55D6" w:rsidRDefault="006C7415">
      <w:pPr>
        <w:pStyle w:val="ListParagraph"/>
        <w:numPr>
          <w:ilvl w:val="0"/>
          <w:numId w:val="2"/>
        </w:numPr>
        <w:spacing w:after="70" w:line="276" w:lineRule="auto"/>
      </w:pPr>
      <w:r>
        <w:t>Interns do not represent the Program Office to HRSA, to the regional centers, or to partner organizations without the supervising position present or an explicit written delegation for a defined task.</w:t>
      </w:r>
    </w:p>
    <w:p w:rsidR="00BE55D6" w:rsidRDefault="006C7415">
      <w:pPr>
        <w:pStyle w:val="ListParagraph"/>
        <w:numPr>
          <w:ilvl w:val="0"/>
          <w:numId w:val="2"/>
        </w:numPr>
        <w:spacing w:after="70" w:line="276" w:lineRule="auto"/>
      </w:pPr>
      <w:r>
        <w:t>Interns do not make determinations about participant selection, eligibility, or program completion, though they may prepare the materials on which those determinations are made.</w:t>
      </w:r>
    </w:p>
    <w:p w:rsidR="00BE55D6" w:rsidRDefault="006C7415">
      <w:pPr>
        <w:spacing w:before="100" w:after="140" w:line="276" w:lineRule="auto"/>
      </w:pPr>
      <w:r>
        <w:t>Read the other way, the boundary is a commitment to the intern. It means the work assigned is work the intern is prepared to do, that a professional position stands behind every product before it leaves the office, and that no one is asked to carry a federal obligation they did not sign up for.</w:t>
      </w:r>
    </w:p>
    <w:p w:rsidR="00BE55D6" w:rsidRDefault="006C7415">
      <w:pPr>
        <w:pStyle w:val="Heading2"/>
        <w:spacing w:before="260" w:after="120"/>
      </w:pPr>
      <w:r>
        <w:rPr>
          <w:b/>
          <w:bCs/>
          <w:color w:val="12312B"/>
          <w:sz w:val="24"/>
          <w:szCs w:val="24"/>
        </w:rPr>
        <w:t>Expectations of Every Intern</w:t>
      </w:r>
    </w:p>
    <w:p w:rsidR="00BE55D6" w:rsidRDefault="006C7415">
      <w:pPr>
        <w:pStyle w:val="ListParagraph"/>
        <w:numPr>
          <w:ilvl w:val="0"/>
          <w:numId w:val="2"/>
        </w:numPr>
        <w:spacing w:after="70" w:line="276" w:lineRule="auto"/>
      </w:pPr>
      <w:r>
        <w:t>Hold the confidentiality of participant, applicant, and partner information, and complete any training the Program Office or the institution requires before handling it.</w:t>
      </w:r>
    </w:p>
    <w:p w:rsidR="00BE55D6" w:rsidRDefault="006C7415">
      <w:pPr>
        <w:pStyle w:val="ListParagraph"/>
        <w:numPr>
          <w:ilvl w:val="0"/>
          <w:numId w:val="2"/>
        </w:numPr>
        <w:spacing w:after="70" w:line="276" w:lineRule="auto"/>
      </w:pPr>
      <w:r>
        <w:t>Complete assigned work by agreed dates, and raise a conflict or a delay early enough that it can be solved rather than absorbed.</w:t>
      </w:r>
    </w:p>
    <w:p w:rsidR="00BE55D6" w:rsidRDefault="006C7415">
      <w:pPr>
        <w:pStyle w:val="ListParagraph"/>
        <w:numPr>
          <w:ilvl w:val="0"/>
          <w:numId w:val="2"/>
        </w:numPr>
        <w:spacing w:after="70" w:line="276" w:lineRule="auto"/>
      </w:pPr>
      <w:r>
        <w:t>Attend the weekly supervision meeting and the Program Office staff meeting, prepared with progress, questions, and anything needing a decision.</w:t>
      </w:r>
    </w:p>
    <w:p w:rsidR="00BE55D6" w:rsidRDefault="006C7415">
      <w:pPr>
        <w:pStyle w:val="ListParagraph"/>
        <w:numPr>
          <w:ilvl w:val="0"/>
          <w:numId w:val="2"/>
        </w:numPr>
        <w:spacing w:after="70" w:line="276" w:lineRule="auto"/>
      </w:pPr>
      <w:r>
        <w:t>Represent the program professionally with students, preceptors, community partners, faculty, and center staff, recognizing that many of these relationships predate the placement and will outlast it.</w:t>
      </w:r>
    </w:p>
    <w:p w:rsidR="00BE55D6" w:rsidRDefault="006C7415">
      <w:pPr>
        <w:pStyle w:val="ListParagraph"/>
        <w:numPr>
          <w:ilvl w:val="0"/>
          <w:numId w:val="2"/>
        </w:numPr>
        <w:spacing w:after="70" w:line="276" w:lineRule="auto"/>
      </w:pPr>
      <w:r>
        <w:t xml:space="preserve">Ask when something is unclear. Interns are not expected to arrive knowing federal grant administration. Note: </w:t>
      </w:r>
      <w:r>
        <w:rPr>
          <w:i/>
        </w:rPr>
        <w:t>a question asked early is materially less costly than a correction made later.</w:t>
      </w:r>
    </w:p>
    <w:p w:rsidR="00BE55D6" w:rsidRDefault="006C7415">
      <w:r>
        <w:br w:type="page"/>
      </w:r>
    </w:p>
    <w:p w:rsidR="00BE55D6" w:rsidRDefault="006C7415">
      <w:pPr>
        <w:pStyle w:val="Heading1"/>
        <w:pBdr>
          <w:bottom w:val="single" w:sz="10" w:space="6" w:color="00693E"/>
        </w:pBdr>
        <w:spacing w:before="320" w:after="180"/>
      </w:pPr>
      <w:r>
        <w:rPr>
          <w:b/>
          <w:bCs/>
          <w:color w:val="00693E"/>
          <w:sz w:val="30"/>
          <w:szCs w:val="30"/>
        </w:rPr>
        <w:lastRenderedPageBreak/>
        <w:t>Applying</w:t>
      </w:r>
    </w:p>
    <w:p w:rsidR="00BE55D6" w:rsidRDefault="006C7415">
      <w:pPr>
        <w:spacing w:after="140" w:line="276" w:lineRule="auto"/>
      </w:pPr>
      <w:r>
        <w:t>Applications are reviewed on a rolling basis, and placements are confirmed in advance of each academic term. Because the number accepted is set by available supervision rather than by demand, applicants are encouraged to inquire early and to indicate a second portfolio of interest.</w:t>
      </w:r>
    </w:p>
    <w:p w:rsidR="00BE55D6" w:rsidRDefault="006C7415">
      <w:pPr>
        <w:pStyle w:val="Heading2"/>
        <w:spacing w:before="260" w:after="120"/>
      </w:pPr>
      <w:r>
        <w:rPr>
          <w:b/>
          <w:bCs/>
          <w:color w:val="12312B"/>
          <w:sz w:val="24"/>
          <w:szCs w:val="24"/>
        </w:rPr>
        <w:t>How to Apply</w:t>
      </w:r>
    </w:p>
    <w:p w:rsidR="00BE55D6" w:rsidRDefault="006C7415">
      <w:pPr>
        <w:pStyle w:val="ListParagraph"/>
        <w:numPr>
          <w:ilvl w:val="0"/>
          <w:numId w:val="2"/>
        </w:numPr>
        <w:spacing w:after="70" w:line="276" w:lineRule="auto"/>
      </w:pPr>
      <w:r>
        <w:t>Submit a current resume or curriculum vitae.</w:t>
      </w:r>
    </w:p>
    <w:p w:rsidR="00BE55D6" w:rsidRDefault="006C7415">
      <w:pPr>
        <w:pStyle w:val="ListParagraph"/>
        <w:numPr>
          <w:ilvl w:val="0"/>
          <w:numId w:val="2"/>
        </w:numPr>
        <w:spacing w:after="70" w:line="276" w:lineRule="auto"/>
      </w:pPr>
      <w:r>
        <w:t>Submit a letter of interest of no more than one page identifying the placement sought, what the applicant hopes to learn, and what they bring to the portfolio.</w:t>
      </w:r>
    </w:p>
    <w:p w:rsidR="00BE55D6" w:rsidRDefault="006C7415">
      <w:pPr>
        <w:pStyle w:val="ListParagraph"/>
        <w:numPr>
          <w:ilvl w:val="0"/>
          <w:numId w:val="2"/>
        </w:numPr>
        <w:spacing w:after="70" w:line="276" w:lineRule="auto"/>
      </w:pPr>
      <w:r>
        <w:t>Identify any academic requirement the placement would satisfy, including an Applied Practice Experience, practicum, independent study, or capstone, together with the name of the faculty member or coordinator who approves it.</w:t>
      </w:r>
    </w:p>
    <w:p w:rsidR="00BE55D6" w:rsidRDefault="006C7415">
      <w:pPr>
        <w:pStyle w:val="ListParagraph"/>
        <w:numPr>
          <w:ilvl w:val="0"/>
          <w:numId w:val="2"/>
        </w:numPr>
        <w:spacing w:after="70" w:line="276" w:lineRule="auto"/>
      </w:pPr>
      <w:r>
        <w:t>Indicate the term of service sought — nine, twelve, or eighteen months — together with a preferred start date and the number of hours per week that can realistically be committed.</w:t>
      </w:r>
    </w:p>
    <w:p w:rsidR="00BE55D6" w:rsidRDefault="006C7415">
      <w:pPr>
        <w:pStyle w:val="ListParagraph"/>
        <w:numPr>
          <w:ilvl w:val="0"/>
          <w:numId w:val="2"/>
        </w:numPr>
        <w:spacing w:after="70" w:line="276" w:lineRule="auto"/>
      </w:pPr>
      <w:r>
        <w:t>Provide the name and contact information of one academic or professional reference.</w:t>
      </w:r>
    </w:p>
    <w:p w:rsidR="00BE55D6" w:rsidRDefault="006C7415">
      <w:pPr>
        <w:spacing w:before="100" w:after="140" w:line="276" w:lineRule="auto"/>
      </w:pPr>
      <w:r>
        <w:t>Materials are submitted to the New Hampshire AHEC Program Office at the Geisel School of Medicine. Applicants selected for consideration meet with the supervising position to discuss fit, scope, and the terms of the placement agreement before an offer is made.</w:t>
      </w:r>
    </w:p>
    <w:p w:rsidR="00BE55D6" w:rsidRDefault="006C7415">
      <w:pPr>
        <w:pStyle w:val="Heading2"/>
        <w:spacing w:before="260" w:after="120"/>
      </w:pPr>
      <w:r>
        <w:rPr>
          <w:b/>
          <w:bCs/>
          <w:color w:val="12312B"/>
          <w:sz w:val="24"/>
          <w:szCs w:val="24"/>
        </w:rPr>
        <w:t>Selection</w:t>
      </w:r>
    </w:p>
    <w:p w:rsidR="00BE55D6" w:rsidRDefault="006C7415">
      <w:pPr>
        <w:spacing w:after="140" w:line="276" w:lineRule="auto"/>
      </w:pPr>
      <w:r>
        <w:t>Selection considers the alignment between the applicant's stated learning goals and the portfolio, the applicant's readiness to carry the work with the level of supervision the position can provide, and the applicant's ability to complete the term of service the portfolio requires. The Program Office recruits deliberately from across disciplines and institutions, and applications from students and recent graduates whose backgrounds are underrepresented in the health and public health professions are particularly welcome.</w:t>
      </w:r>
    </w:p>
    <w:p w:rsidR="00BE55D6" w:rsidRDefault="006C7415">
      <w:pPr>
        <w:pBdr>
          <w:top w:val="single" w:sz="6" w:space="8" w:color="C9D6CE"/>
        </w:pBdr>
        <w:spacing w:before="400"/>
      </w:pPr>
      <w:r>
        <w:rPr>
          <w:i/>
          <w:iCs/>
          <w:color w:val="5A5A5A"/>
          <w:sz w:val="17"/>
          <w:szCs w:val="17"/>
        </w:rPr>
        <w:t>Prepared by the New Hampshire AHEC Program Office at the Geisel School of Medicine at Dartmouth. These descriptions are maintained as a working reference and are revised as the staffing structure, the cooperative agreement, and program conditions require. Placements are uncompensated experiential learning opportunities and do not constitute an offer of employment.</w:t>
      </w:r>
    </w:p>
    <w:sectPr w:rsidR="00BE55D6">
      <w:headerReference w:type="default" r:id="rId9"/>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7EAE" w:rsidRDefault="004B7EAE">
      <w:r>
        <w:separator/>
      </w:r>
    </w:p>
  </w:endnote>
  <w:endnote w:type="continuationSeparator" w:id="0">
    <w:p w:rsidR="004B7EAE" w:rsidRDefault="004B7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415" w:rsidRDefault="006C7415">
    <w:pPr>
      <w:jc w:val="center"/>
    </w:pPr>
    <w:r>
      <w:rPr>
        <w:color w:val="5A5A5A"/>
        <w:sz w:val="16"/>
        <w:szCs w:val="16"/>
      </w:rPr>
      <w:t xml:space="preserve">Page </w:t>
    </w:r>
    <w:r>
      <w:rPr>
        <w:color w:val="5A5A5A"/>
        <w:sz w:val="16"/>
        <w:szCs w:val="16"/>
      </w:rPr>
      <w:fldChar w:fldCharType="begin"/>
    </w:r>
    <w:r>
      <w:rPr>
        <w:color w:val="5A5A5A"/>
        <w:sz w:val="16"/>
        <w:szCs w:val="16"/>
      </w:rPr>
      <w:instrText>PAGE</w:instrText>
    </w:r>
    <w:r>
      <w:rPr>
        <w:color w:val="5A5A5A"/>
        <w:sz w:val="16"/>
        <w:szCs w:val="16"/>
      </w:rPr>
      <w:fldChar w:fldCharType="separate"/>
    </w:r>
    <w:r>
      <w:rPr>
        <w:noProof/>
        <w:color w:val="5A5A5A"/>
        <w:sz w:val="16"/>
        <w:szCs w:val="16"/>
      </w:rPr>
      <w:t>1</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7EAE" w:rsidRDefault="004B7EAE">
      <w:r>
        <w:separator/>
      </w:r>
    </w:p>
  </w:footnote>
  <w:footnote w:type="continuationSeparator" w:id="0">
    <w:p w:rsidR="004B7EAE" w:rsidRDefault="004B7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415" w:rsidRDefault="006C7415">
    <w:pPr>
      <w:pBdr>
        <w:bottom w:val="single" w:sz="4" w:space="4" w:color="C9D6CE"/>
      </w:pBdr>
      <w:spacing w:after="120"/>
      <w:jc w:val="right"/>
    </w:pPr>
    <w:r>
      <w:rPr>
        <w:color w:val="5A5A5A"/>
        <w:sz w:val="16"/>
        <w:szCs w:val="16"/>
      </w:rPr>
      <w:t xml:space="preserve">New Hampshire AHEC Program </w:t>
    </w:r>
    <w:proofErr w:type="gramStart"/>
    <w:r>
      <w:rPr>
        <w:color w:val="5A5A5A"/>
        <w:sz w:val="16"/>
        <w:szCs w:val="16"/>
      </w:rPr>
      <w:t>Office  ·</w:t>
    </w:r>
    <w:proofErr w:type="gramEnd"/>
    <w:r>
      <w:rPr>
        <w:color w:val="5A5A5A"/>
        <w:sz w:val="16"/>
        <w:szCs w:val="16"/>
      </w:rPr>
      <w:t xml:space="preserve">  Health Careers Institute at Dartmouth (HCID) Impact Intern  ·  AY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230AF"/>
    <w:multiLevelType w:val="hybridMultilevel"/>
    <w:tmpl w:val="C02E182C"/>
    <w:lvl w:ilvl="0" w:tplc="C9EE4E9E">
      <w:start w:val="1"/>
      <w:numFmt w:val="bullet"/>
      <w:lvlText w:val="●"/>
      <w:lvlJc w:val="left"/>
      <w:pPr>
        <w:ind w:left="720" w:hanging="360"/>
      </w:pPr>
    </w:lvl>
    <w:lvl w:ilvl="1" w:tplc="6616E860">
      <w:start w:val="1"/>
      <w:numFmt w:val="bullet"/>
      <w:lvlText w:val="○"/>
      <w:lvlJc w:val="left"/>
      <w:pPr>
        <w:ind w:left="1440" w:hanging="360"/>
      </w:pPr>
    </w:lvl>
    <w:lvl w:ilvl="2" w:tplc="2D6E4FCA">
      <w:start w:val="1"/>
      <w:numFmt w:val="bullet"/>
      <w:lvlText w:val="■"/>
      <w:lvlJc w:val="left"/>
      <w:pPr>
        <w:ind w:left="2160" w:hanging="360"/>
      </w:pPr>
    </w:lvl>
    <w:lvl w:ilvl="3" w:tplc="6FD0062C">
      <w:start w:val="1"/>
      <w:numFmt w:val="bullet"/>
      <w:lvlText w:val="●"/>
      <w:lvlJc w:val="left"/>
      <w:pPr>
        <w:ind w:left="2880" w:hanging="360"/>
      </w:pPr>
    </w:lvl>
    <w:lvl w:ilvl="4" w:tplc="062C1528">
      <w:start w:val="1"/>
      <w:numFmt w:val="bullet"/>
      <w:lvlText w:val="○"/>
      <w:lvlJc w:val="left"/>
      <w:pPr>
        <w:ind w:left="3600" w:hanging="360"/>
      </w:pPr>
    </w:lvl>
    <w:lvl w:ilvl="5" w:tplc="0890F2B2">
      <w:start w:val="1"/>
      <w:numFmt w:val="bullet"/>
      <w:lvlText w:val="■"/>
      <w:lvlJc w:val="left"/>
      <w:pPr>
        <w:ind w:left="4320" w:hanging="360"/>
      </w:pPr>
    </w:lvl>
    <w:lvl w:ilvl="6" w:tplc="3DD0D18C">
      <w:start w:val="1"/>
      <w:numFmt w:val="bullet"/>
      <w:lvlText w:val="●"/>
      <w:lvlJc w:val="left"/>
      <w:pPr>
        <w:ind w:left="5040" w:hanging="360"/>
      </w:pPr>
    </w:lvl>
    <w:lvl w:ilvl="7" w:tplc="8DF6A3C0">
      <w:start w:val="1"/>
      <w:numFmt w:val="bullet"/>
      <w:lvlText w:val="●"/>
      <w:lvlJc w:val="left"/>
      <w:pPr>
        <w:ind w:left="5760" w:hanging="360"/>
      </w:pPr>
    </w:lvl>
    <w:lvl w:ilvl="8" w:tplc="9EACB852">
      <w:start w:val="1"/>
      <w:numFmt w:val="bullet"/>
      <w:lvlText w:val="●"/>
      <w:lvlJc w:val="left"/>
      <w:pPr>
        <w:ind w:left="6480" w:hanging="360"/>
      </w:pPr>
    </w:lvl>
  </w:abstractNum>
  <w:abstractNum w:abstractNumId="1" w15:restartNumberingAfterBreak="0">
    <w:nsid w:val="693B48B1"/>
    <w:multiLevelType w:val="hybridMultilevel"/>
    <w:tmpl w:val="FCD4DC74"/>
    <w:lvl w:ilvl="0" w:tplc="02A607DA">
      <w:start w:val="1"/>
      <w:numFmt w:val="bullet"/>
      <w:lvlText w:val="•"/>
      <w:lvlJc w:val="left"/>
      <w:pPr>
        <w:ind w:left="431" w:hanging="259"/>
      </w:pPr>
    </w:lvl>
    <w:lvl w:ilvl="1" w:tplc="805E0784">
      <w:numFmt w:val="decimal"/>
      <w:lvlText w:val=""/>
      <w:lvlJc w:val="left"/>
    </w:lvl>
    <w:lvl w:ilvl="2" w:tplc="CB9A83A6">
      <w:numFmt w:val="decimal"/>
      <w:lvlText w:val=""/>
      <w:lvlJc w:val="left"/>
    </w:lvl>
    <w:lvl w:ilvl="3" w:tplc="1CC64C68">
      <w:numFmt w:val="decimal"/>
      <w:lvlText w:val=""/>
      <w:lvlJc w:val="left"/>
    </w:lvl>
    <w:lvl w:ilvl="4" w:tplc="8FE249AA">
      <w:numFmt w:val="decimal"/>
      <w:lvlText w:val=""/>
      <w:lvlJc w:val="left"/>
    </w:lvl>
    <w:lvl w:ilvl="5" w:tplc="8CD417B2">
      <w:numFmt w:val="decimal"/>
      <w:lvlText w:val=""/>
      <w:lvlJc w:val="left"/>
    </w:lvl>
    <w:lvl w:ilvl="6" w:tplc="56EACF80">
      <w:numFmt w:val="decimal"/>
      <w:lvlText w:val=""/>
      <w:lvlJc w:val="left"/>
    </w:lvl>
    <w:lvl w:ilvl="7" w:tplc="113A49D4">
      <w:numFmt w:val="decimal"/>
      <w:lvlText w:val=""/>
      <w:lvlJc w:val="left"/>
    </w:lvl>
    <w:lvl w:ilvl="8" w:tplc="A560E156">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5D6"/>
    <w:rsid w:val="00013BAA"/>
    <w:rsid w:val="000B391B"/>
    <w:rsid w:val="002E37CC"/>
    <w:rsid w:val="004B7EAE"/>
    <w:rsid w:val="005820B6"/>
    <w:rsid w:val="00633CDD"/>
    <w:rsid w:val="006C7415"/>
    <w:rsid w:val="00BE55D6"/>
    <w:rsid w:val="00C9409B"/>
    <w:rsid w:val="00E03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D526285-55A7-2643-B15C-55A9C23B9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1F1F1F"/>
        <w:sz w:val="21"/>
        <w:szCs w:val="21"/>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92137">
      <w:bodyDiv w:val="1"/>
      <w:marLeft w:val="0"/>
      <w:marRight w:val="0"/>
      <w:marTop w:val="0"/>
      <w:marBottom w:val="0"/>
      <w:divBdr>
        <w:top w:val="none" w:sz="0" w:space="0" w:color="auto"/>
        <w:left w:val="none" w:sz="0" w:space="0" w:color="auto"/>
        <w:bottom w:val="none" w:sz="0" w:space="0" w:color="auto"/>
        <w:right w:val="none" w:sz="0" w:space="0" w:color="auto"/>
      </w:divBdr>
    </w:div>
    <w:div w:id="494345380">
      <w:bodyDiv w:val="1"/>
      <w:marLeft w:val="0"/>
      <w:marRight w:val="0"/>
      <w:marTop w:val="0"/>
      <w:marBottom w:val="0"/>
      <w:divBdr>
        <w:top w:val="none" w:sz="0" w:space="0" w:color="auto"/>
        <w:left w:val="none" w:sz="0" w:space="0" w:color="auto"/>
        <w:bottom w:val="none" w:sz="0" w:space="0" w:color="auto"/>
        <w:right w:val="none" w:sz="0" w:space="0" w:color="auto"/>
      </w:divBdr>
    </w:div>
    <w:div w:id="758065953">
      <w:bodyDiv w:val="1"/>
      <w:marLeft w:val="0"/>
      <w:marRight w:val="0"/>
      <w:marTop w:val="0"/>
      <w:marBottom w:val="0"/>
      <w:divBdr>
        <w:top w:val="none" w:sz="0" w:space="0" w:color="auto"/>
        <w:left w:val="none" w:sz="0" w:space="0" w:color="auto"/>
        <w:bottom w:val="none" w:sz="0" w:space="0" w:color="auto"/>
        <w:right w:val="none" w:sz="0" w:space="0" w:color="auto"/>
      </w:divBdr>
    </w:div>
    <w:div w:id="854539468">
      <w:bodyDiv w:val="1"/>
      <w:marLeft w:val="0"/>
      <w:marRight w:val="0"/>
      <w:marTop w:val="0"/>
      <w:marBottom w:val="0"/>
      <w:divBdr>
        <w:top w:val="none" w:sz="0" w:space="0" w:color="auto"/>
        <w:left w:val="none" w:sz="0" w:space="0" w:color="auto"/>
        <w:bottom w:val="none" w:sz="0" w:space="0" w:color="auto"/>
        <w:right w:val="none" w:sz="0" w:space="0" w:color="auto"/>
      </w:divBdr>
    </w:div>
    <w:div w:id="1222130998">
      <w:bodyDiv w:val="1"/>
      <w:marLeft w:val="0"/>
      <w:marRight w:val="0"/>
      <w:marTop w:val="0"/>
      <w:marBottom w:val="0"/>
      <w:divBdr>
        <w:top w:val="none" w:sz="0" w:space="0" w:color="auto"/>
        <w:left w:val="none" w:sz="0" w:space="0" w:color="auto"/>
        <w:bottom w:val="none" w:sz="0" w:space="0" w:color="auto"/>
        <w:right w:val="none" w:sz="0" w:space="0" w:color="auto"/>
      </w:divBdr>
    </w:div>
    <w:div w:id="1543861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2555</Words>
  <Characters>14570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Alicia L. Battle</cp:lastModifiedBy>
  <cp:revision>2</cp:revision>
  <cp:lastPrinted>2026-09-30T15:23:00Z</cp:lastPrinted>
  <dcterms:created xsi:type="dcterms:W3CDTF">2026-09-30T16:43:00Z</dcterms:created>
  <dcterms:modified xsi:type="dcterms:W3CDTF">2026-09-30T16:43:00Z</dcterms:modified>
</cp:coreProperties>
</file>