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55D6" w:rsidRDefault="006C7415">
      <w:pPr>
        <w:tabs>
          <w:tab w:val="right" w:pos="10080"/>
        </w:tabs>
        <w:spacing w:after="720"/>
      </w:pPr>
      <w:bookmarkStart w:id="0" w:name="_GoBack"/>
      <w:bookmarkEnd w:id="0"/>
      <w:r>
        <w:rPr>
          <w:noProof/>
        </w:rPr>
        <w:drawing>
          <wp:inline distT="0" distB="0" distL="0" distR="0">
            <wp:extent cx="2197936" cy="566928"/>
            <wp:effectExtent l="0" t="0" r="0" b="0"/>
            <wp:docPr id="9001" name="New Hampshire Area Health Education Center logo" descr="New Hampshire Area Health Education Cen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New Hampshire Area Health Education Center logo"/>
                    <pic:cNvPicPr/>
                  </pic:nvPicPr>
                  <pic:blipFill>
                    <a:blip r:embed="rId7"/>
                    <a:stretch>
                      <a:fillRect/>
                    </a:stretch>
                  </pic:blipFill>
                  <pic:spPr>
                    <a:xfrm>
                      <a:off x="0" y="0"/>
                      <a:ext cx="2197936" cy="566928"/>
                    </a:xfrm>
                    <a:prstGeom prst="rect">
                      <a:avLst/>
                    </a:prstGeom>
                  </pic:spPr>
                </pic:pic>
              </a:graphicData>
            </a:graphic>
          </wp:inline>
        </w:drawing>
      </w:r>
      <w:r>
        <w:tab/>
      </w:r>
      <w:r>
        <w:rPr>
          <w:noProof/>
        </w:rPr>
        <w:drawing>
          <wp:inline distT="0" distB="0" distL="0" distR="0">
            <wp:extent cx="1664375" cy="566928"/>
            <wp:effectExtent l="0" t="0" r="0" b="0"/>
            <wp:docPr id="9002" name="Dartmouth Geisel School of Medicine logo" descr="Dartmouth Geisel School of Medici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 name="Dartmouth Geisel School of Medicine logo"/>
                    <pic:cNvPicPr/>
                  </pic:nvPicPr>
                  <pic:blipFill>
                    <a:blip r:embed="rId8"/>
                    <a:stretch>
                      <a:fillRect/>
                    </a:stretch>
                  </pic:blipFill>
                  <pic:spPr>
                    <a:xfrm>
                      <a:off x="0" y="0"/>
                      <a:ext cx="1664375" cy="566928"/>
                    </a:xfrm>
                    <a:prstGeom prst="rect">
                      <a:avLst/>
                    </a:prstGeom>
                  </pic:spPr>
                </pic:pic>
              </a:graphicData>
            </a:graphic>
          </wp:inline>
        </w:drawing>
      </w:r>
    </w:p>
    <w:p w:rsidR="00BE55D6" w:rsidRDefault="006C7415">
      <w:pPr>
        <w:spacing w:before="480" w:after="60"/>
      </w:pPr>
      <w:r>
        <w:rPr>
          <w:b/>
          <w:bCs/>
          <w:color w:val="00693E"/>
          <w:spacing w:val="30"/>
          <w:sz w:val="22"/>
          <w:szCs w:val="22"/>
        </w:rPr>
        <w:t>NEW HAMPSHIRE AHEC PROGRAM OFFICE</w:t>
      </w:r>
    </w:p>
    <w:p w:rsidR="00BE55D6" w:rsidRDefault="006C7415">
      <w:pPr>
        <w:spacing w:after="400"/>
      </w:pPr>
      <w:r>
        <w:rPr>
          <w:color w:val="5A5A5A"/>
        </w:rPr>
        <w:t>Geisel School of Medicine at Dartmouth</w:t>
      </w:r>
    </w:p>
    <w:p w:rsidR="00BE55D6" w:rsidRDefault="006C7415">
      <w:pPr>
        <w:spacing w:after="100"/>
      </w:pPr>
      <w:r>
        <w:rPr>
          <w:b/>
          <w:bCs/>
          <w:color w:val="12312B"/>
          <w:sz w:val="52"/>
          <w:szCs w:val="52"/>
        </w:rPr>
        <w:t>Dashboard Impact Intern</w:t>
      </w:r>
    </w:p>
    <w:p w:rsidR="00BE55D6" w:rsidRDefault="006C7415">
      <w:pPr>
        <w:pBdr>
          <w:bottom w:val="single" w:sz="12" w:space="10" w:color="00693E"/>
        </w:pBdr>
        <w:spacing w:after="500"/>
      </w:pPr>
      <w:r>
        <w:rPr>
          <w:color w:val="5A5A5A"/>
          <w:sz w:val="26"/>
          <w:szCs w:val="26"/>
        </w:rPr>
        <w:t>Impact Intern Position Description</w:t>
      </w:r>
    </w:p>
    <w:p w:rsidR="00BE55D6" w:rsidRDefault="006C7415">
      <w:pPr>
        <w:spacing w:after="60" w:line="276" w:lineRule="auto"/>
      </w:pPr>
      <w:r>
        <w:rPr>
          <w:b/>
          <w:bCs/>
          <w:color w:val="12312B"/>
          <w:sz w:val="22"/>
          <w:szCs w:val="22"/>
        </w:rPr>
        <w:t>Academic Year 2026–2027</w:t>
      </w:r>
    </w:p>
    <w:p w:rsidR="00BE55D6" w:rsidRDefault="006C7415">
      <w:pPr>
        <w:spacing w:after="40" w:line="276" w:lineRule="auto"/>
      </w:pPr>
      <w:r>
        <w:rPr>
          <w:color w:val="5A5A5A"/>
          <w:sz w:val="20"/>
          <w:szCs w:val="20"/>
        </w:rPr>
        <w:t>Cooperative Agreement U77HP03627 · Health Resources and Services Administration</w:t>
      </w:r>
    </w:p>
    <w:p w:rsidR="00BE55D6" w:rsidRDefault="006C7415">
      <w:pPr>
        <w:spacing w:after="40" w:line="276" w:lineRule="auto"/>
      </w:pPr>
      <w:r>
        <w:rPr>
          <w:color w:val="5A5A5A"/>
          <w:sz w:val="20"/>
          <w:szCs w:val="20"/>
        </w:rPr>
        <w:t>Bureau of Health Workforce · Area Health Education Centers Program</w:t>
      </w:r>
    </w:p>
    <w:p w:rsidR="00BE55D6" w:rsidRDefault="006C7415">
      <w:pPr>
        <w:spacing w:after="600" w:line="276" w:lineRule="auto"/>
      </w:pPr>
      <w:r>
        <w:rPr>
          <w:color w:val="5A5A5A"/>
          <w:sz w:val="20"/>
          <w:szCs w:val="20"/>
        </w:rPr>
        <w:t>Trustees of Dartmouth College</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2600"/>
        <w:gridCol w:w="7480"/>
      </w:tblGrid>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Placement portfolio</w:t>
            </w:r>
          </w:p>
        </w:tc>
        <w:tc>
          <w:tcPr>
            <w:tcW w:w="7480" w:type="dxa"/>
            <w:tcMar>
              <w:top w:w="90" w:type="dxa"/>
              <w:left w:w="130" w:type="dxa"/>
              <w:bottom w:w="90" w:type="dxa"/>
              <w:right w:w="130" w:type="dxa"/>
            </w:tcMar>
          </w:tcPr>
          <w:p w:rsidR="00BE55D6" w:rsidRDefault="006C7415">
            <w:pPr>
              <w:spacing w:line="264" w:lineRule="auto"/>
            </w:pPr>
            <w:r>
              <w:rPr>
                <w:sz w:val="19"/>
                <w:szCs w:val="19"/>
              </w:rPr>
              <w:t>Domain content development, data preparation and verification, narrative elements, and usability review for the public AHEC Impact Dashboard</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Supervising position</w:t>
            </w:r>
          </w:p>
        </w:tc>
        <w:tc>
          <w:tcPr>
            <w:tcW w:w="7480" w:type="dxa"/>
            <w:tcMar>
              <w:top w:w="90" w:type="dxa"/>
              <w:left w:w="130" w:type="dxa"/>
              <w:bottom w:w="90" w:type="dxa"/>
              <w:right w:w="130" w:type="dxa"/>
            </w:tcMar>
          </w:tcPr>
          <w:p w:rsidR="00BE55D6" w:rsidRDefault="006C7415">
            <w:pPr>
              <w:spacing w:line="264" w:lineRule="auto"/>
            </w:pPr>
            <w:r>
              <w:rPr>
                <w:sz w:val="19"/>
                <w:szCs w:val="19"/>
              </w:rPr>
              <w:t>Director / PI, with data review by the Evaluators, CPDE</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Basis</w:t>
            </w:r>
          </w:p>
        </w:tc>
        <w:tc>
          <w:tcPr>
            <w:tcW w:w="7480" w:type="dxa"/>
            <w:tcMar>
              <w:top w:w="90" w:type="dxa"/>
              <w:left w:w="130" w:type="dxa"/>
              <w:bottom w:w="90" w:type="dxa"/>
              <w:right w:w="130" w:type="dxa"/>
            </w:tcMar>
          </w:tcPr>
          <w:p w:rsidR="00BE55D6" w:rsidRDefault="006C7415">
            <w:pPr>
              <w:spacing w:line="264" w:lineRule="auto"/>
            </w:pPr>
            <w:r>
              <w:rPr>
                <w:sz w:val="19"/>
                <w:szCs w:val="19"/>
              </w:rPr>
              <w:t>Uncompensated experiential learning placement; not an employment relationship</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Term of service</w:t>
            </w:r>
          </w:p>
        </w:tc>
        <w:tc>
          <w:tcPr>
            <w:tcW w:w="7480" w:type="dxa"/>
            <w:tcMar>
              <w:top w:w="90" w:type="dxa"/>
              <w:left w:w="130" w:type="dxa"/>
              <w:bottom w:w="90" w:type="dxa"/>
              <w:right w:w="130" w:type="dxa"/>
            </w:tcMar>
          </w:tcPr>
          <w:p w:rsidR="00BE55D6" w:rsidRDefault="006C7415">
            <w:pPr>
              <w:spacing w:line="264" w:lineRule="auto"/>
            </w:pPr>
            <w:r>
              <w:rPr>
                <w:sz w:val="19"/>
                <w:szCs w:val="19"/>
              </w:rPr>
              <w:t>Nine, twelve, or eighteen months, selected at the outset and fixed in the placement agreement</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Recommended term</w:t>
            </w:r>
          </w:p>
        </w:tc>
        <w:tc>
          <w:tcPr>
            <w:tcW w:w="7480" w:type="dxa"/>
            <w:tcMar>
              <w:top w:w="90" w:type="dxa"/>
              <w:left w:w="130" w:type="dxa"/>
              <w:bottom w:w="90" w:type="dxa"/>
              <w:right w:w="130" w:type="dxa"/>
            </w:tcMar>
          </w:tcPr>
          <w:p w:rsidR="00BE55D6" w:rsidRDefault="006C7415">
            <w:pPr>
              <w:spacing w:line="264" w:lineRule="auto"/>
            </w:pPr>
            <w:r>
              <w:rPr>
                <w:sz w:val="19"/>
                <w:szCs w:val="19"/>
              </w:rPr>
              <w:t>Twelve or eighteen months. The dashboard expands in phases tied to the reporting calendar, and a twelve-month term carries the intern from the December refresh through the August release of one-year outcomes. An eighteen-month term allows the ten-year historical series to be completed.</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Effort</w:t>
            </w:r>
          </w:p>
        </w:tc>
        <w:tc>
          <w:tcPr>
            <w:tcW w:w="7480" w:type="dxa"/>
            <w:tcMar>
              <w:top w:w="90" w:type="dxa"/>
              <w:left w:w="130" w:type="dxa"/>
              <w:bottom w:w="90" w:type="dxa"/>
              <w:right w:w="130" w:type="dxa"/>
            </w:tcMar>
          </w:tcPr>
          <w:p w:rsidR="00BE55D6" w:rsidRDefault="006C7415">
            <w:pPr>
              <w:spacing w:line="264" w:lineRule="auto"/>
            </w:pPr>
            <w:r>
              <w:rPr>
                <w:sz w:val="19"/>
                <w:szCs w:val="19"/>
              </w:rPr>
              <w:t>8–10 hours per week, scheduled around the intern's academic obligations</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Location</w:t>
            </w:r>
          </w:p>
        </w:tc>
        <w:tc>
          <w:tcPr>
            <w:tcW w:w="7480" w:type="dxa"/>
            <w:tcMar>
              <w:top w:w="90" w:type="dxa"/>
              <w:left w:w="130" w:type="dxa"/>
              <w:bottom w:w="90" w:type="dxa"/>
              <w:right w:w="130" w:type="dxa"/>
            </w:tcMar>
          </w:tcPr>
          <w:p w:rsidR="00BE55D6" w:rsidRDefault="006C7415">
            <w:pPr>
              <w:spacing w:line="264" w:lineRule="auto"/>
            </w:pPr>
            <w:r>
              <w:rPr>
                <w:sz w:val="19"/>
                <w:szCs w:val="19"/>
              </w:rPr>
              <w:t>Hybrid. Program Office, Geisel School of Medicine at Dartmouth, with remote work as approved</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Eligible</w:t>
            </w:r>
          </w:p>
        </w:tc>
        <w:tc>
          <w:tcPr>
            <w:tcW w:w="7480" w:type="dxa"/>
            <w:tcMar>
              <w:top w:w="90" w:type="dxa"/>
              <w:left w:w="130" w:type="dxa"/>
              <w:bottom w:w="90" w:type="dxa"/>
              <w:right w:w="130" w:type="dxa"/>
            </w:tcMar>
          </w:tcPr>
          <w:p w:rsidR="00BE55D6" w:rsidRDefault="006C7415">
            <w:pPr>
              <w:spacing w:line="264" w:lineRule="auto"/>
            </w:pPr>
            <w:r>
              <w:rPr>
                <w:sz w:val="19"/>
                <w:szCs w:val="19"/>
              </w:rPr>
              <w:t>Graduate and professional students and recent graduates (within two years of degree completion)</w:t>
            </w:r>
          </w:p>
        </w:tc>
      </w:tr>
    </w:tbl>
    <w:p w:rsidR="00BE55D6" w:rsidRDefault="006C7415">
      <w:pPr>
        <w:pStyle w:val="Heading2"/>
        <w:spacing w:before="260" w:after="120"/>
      </w:pPr>
      <w:r>
        <w:rPr>
          <w:b/>
          <w:bCs/>
          <w:color w:val="12312B"/>
          <w:sz w:val="24"/>
          <w:szCs w:val="24"/>
        </w:rPr>
        <w:t>Position Summary</w:t>
      </w:r>
    </w:p>
    <w:p w:rsidR="00BE55D6" w:rsidRDefault="006C7415">
      <w:pPr>
        <w:spacing w:after="140" w:line="276" w:lineRule="auto"/>
      </w:pPr>
      <w:r>
        <w:t xml:space="preserve">The AHEC Impact Dashboard is the public presentation of the statewide workforce dashboard described in the operating plan. It pairs quantitative measures with enough context to tell the story of New Hampshire AHEC's contribution to the health workforce. The Dashboard Impact Intern supports the design, population, and refinement </w:t>
      </w:r>
      <w:r>
        <w:lastRenderedPageBreak/>
        <w:t>of that platform, translating program data, partner records, and participant perspectives into a coherent public account of what AHEC accomplishes.</w:t>
      </w:r>
    </w:p>
    <w:p w:rsidR="00BE55D6" w:rsidRDefault="006C7415">
      <w:pPr>
        <w:spacing w:after="140" w:line="276" w:lineRule="auto"/>
      </w:pPr>
      <w:r>
        <w:t>The dashboard organizes AHEC's work across five domains: Pipeline Programs, AHEC Scholars, Continuing Education, Community Partnerships, and Health Professions Workforce Development. Each domain answers a guiding question and holds a place on a continuum that runs from inspire to prepare, support, connect, and strengthen. Workforce development serves as both a domain and the frame for the whole platform, so the intern prepares content in which each domain reinforces the larger account.</w:t>
      </w:r>
    </w:p>
    <w:p w:rsidR="00BE55D6" w:rsidRDefault="006C7415">
      <w:pPr>
        <w:spacing w:after="140" w:line="276" w:lineRule="auto"/>
      </w:pPr>
      <w:r>
        <w:t>This placement suits someone interested in health workforce policy, program evaluation, data communication, or public health informatics. The materials the intern prepares are published for partners, funders, prospective students, and state stakeholders. The placement complements the Evaluation Impact Intern, whose work centers on data collection and indicator preparation, while this placement centers on how those figures are presented and explained to the public.</w:t>
      </w:r>
    </w:p>
    <w:p w:rsidR="00BE55D6" w:rsidRDefault="006C7415">
      <w:pPr>
        <w:pStyle w:val="Heading2"/>
        <w:spacing w:before="260" w:after="120"/>
      </w:pPr>
      <w:r>
        <w:rPr>
          <w:b/>
          <w:bCs/>
          <w:color w:val="12312B"/>
          <w:sz w:val="24"/>
          <w:szCs w:val="24"/>
        </w:rPr>
        <w:t>Responsibilities</w:t>
      </w:r>
    </w:p>
    <w:p w:rsidR="00BE55D6" w:rsidRDefault="006C7415">
      <w:pPr>
        <w:pStyle w:val="ListParagraph"/>
        <w:numPr>
          <w:ilvl w:val="0"/>
          <w:numId w:val="2"/>
        </w:numPr>
        <w:spacing w:after="70" w:line="276" w:lineRule="auto"/>
      </w:pPr>
      <w:r>
        <w:t>Compile program data from continuing education records, AHEC Scholars enrollment and completion files, pipeline program rosters, partnership agreements, and workforce development activity logs.</w:t>
      </w:r>
    </w:p>
    <w:p w:rsidR="00BE55D6" w:rsidRDefault="006C7415">
      <w:pPr>
        <w:pStyle w:val="ListParagraph"/>
        <w:numPr>
          <w:ilvl w:val="0"/>
          <w:numId w:val="2"/>
        </w:numPr>
        <w:spacing w:after="70" w:line="276" w:lineRule="auto"/>
      </w:pPr>
      <w:r>
        <w:t>Reconcile figures against source documentation and prior HRSA reporting, and flag discrepancies to the supervising position rather than adjusting them independently.</w:t>
      </w:r>
    </w:p>
    <w:p w:rsidR="00BE55D6" w:rsidRDefault="006C7415">
      <w:pPr>
        <w:pStyle w:val="ListParagraph"/>
        <w:numPr>
          <w:ilvl w:val="0"/>
          <w:numId w:val="2"/>
        </w:numPr>
        <w:spacing w:after="70" w:line="276" w:lineRule="auto"/>
      </w:pPr>
      <w:r>
        <w:t>Assemble the ten-year historical series where records allow, documenting the years for which data are incomplete or methodologically inconsistent.</w:t>
      </w:r>
    </w:p>
    <w:p w:rsidR="00BE55D6" w:rsidRDefault="006C7415">
      <w:pPr>
        <w:pStyle w:val="ListParagraph"/>
        <w:numPr>
          <w:ilvl w:val="0"/>
          <w:numId w:val="2"/>
        </w:numPr>
        <w:spacing w:after="70" w:line="276" w:lineRule="auto"/>
      </w:pPr>
      <w:r>
        <w:t>Maintain a data dictionary that defines every displayed measure, its source system, its reporting period, and its method of calculation.</w:t>
      </w:r>
    </w:p>
    <w:p w:rsidR="00BE55D6" w:rsidRDefault="006C7415">
      <w:pPr>
        <w:pStyle w:val="ListParagraph"/>
        <w:numPr>
          <w:ilvl w:val="0"/>
          <w:numId w:val="2"/>
        </w:numPr>
        <w:spacing w:after="70" w:line="276" w:lineRule="auto"/>
      </w:pPr>
      <w:r>
        <w:t>Draft content for each of the five dashboard domains around its guiding question, including measures of reach, participation, geographic distribution, partner engagement, and outcomes.</w:t>
      </w:r>
    </w:p>
    <w:p w:rsidR="00BE55D6" w:rsidRDefault="006C7415">
      <w:pPr>
        <w:pStyle w:val="ListParagraph"/>
        <w:numPr>
          <w:ilvl w:val="0"/>
          <w:numId w:val="2"/>
        </w:numPr>
        <w:spacing w:after="70" w:line="276" w:lineRule="auto"/>
      </w:pPr>
      <w:r>
        <w:t>Develop county-level and regional views that show where AHEC activity occurs and where gaps remain.</w:t>
      </w:r>
    </w:p>
    <w:p w:rsidR="00BE55D6" w:rsidRDefault="006C7415">
      <w:pPr>
        <w:pStyle w:val="ListParagraph"/>
        <w:numPr>
          <w:ilvl w:val="0"/>
          <w:numId w:val="2"/>
        </w:numPr>
        <w:spacing w:after="70" w:line="276" w:lineRule="auto"/>
      </w:pPr>
      <w:r>
        <w:t>Draft brief program stories, participant perspectives, and plain-language interpretive text, and secure the required permissions before any individual is named or depicted.</w:t>
      </w:r>
    </w:p>
    <w:p w:rsidR="00BE55D6" w:rsidRDefault="006C7415">
      <w:pPr>
        <w:pStyle w:val="ListParagraph"/>
        <w:numPr>
          <w:ilvl w:val="0"/>
          <w:numId w:val="2"/>
        </w:numPr>
        <w:spacing w:after="70" w:line="276" w:lineRule="auto"/>
      </w:pPr>
      <w:r>
        <w:t>Test the platform for navigational clarity, accessibility, and mobile usability, and prepare figures, maps, and charts that meet color contrast and alternative text standards.</w:t>
      </w:r>
    </w:p>
    <w:p w:rsidR="00BE55D6" w:rsidRDefault="006C7415">
      <w:pPr>
        <w:pStyle w:val="ListParagraph"/>
        <w:numPr>
          <w:ilvl w:val="0"/>
          <w:numId w:val="2"/>
        </w:numPr>
        <w:spacing w:after="70" w:line="276" w:lineRule="auto"/>
      </w:pPr>
      <w:r>
        <w:t>Maintain version control and a change log for published content, and prepare a refresh protocol and transition memorandum so the platform can be sustained without loss of institutional knowledge.</w:t>
      </w:r>
    </w:p>
    <w:p w:rsidR="00BE55D6" w:rsidRDefault="006C7415">
      <w:pPr>
        <w:pStyle w:val="Heading2"/>
        <w:spacing w:before="260" w:after="120"/>
      </w:pPr>
      <w:r>
        <w:rPr>
          <w:b/>
          <w:bCs/>
          <w:color w:val="12312B"/>
          <w:sz w:val="24"/>
          <w:szCs w:val="24"/>
        </w:rPr>
        <w:t>Representative Deliverables</w:t>
      </w:r>
    </w:p>
    <w:p w:rsidR="00BE55D6" w:rsidRDefault="006C7415">
      <w:pPr>
        <w:spacing w:after="120" w:line="276" w:lineRule="auto"/>
      </w:pPr>
      <w:r>
        <w:t>Each placement produces work the intern can name and describe when applying for positions or fellowships. Deliverables are agreed at the start of the term and reviewed by the supervising position before they enter any program record.</w:t>
      </w:r>
    </w:p>
    <w:p w:rsidR="00BE55D6" w:rsidRDefault="006C7415">
      <w:pPr>
        <w:pStyle w:val="ListParagraph"/>
        <w:numPr>
          <w:ilvl w:val="0"/>
          <w:numId w:val="2"/>
        </w:numPr>
        <w:spacing w:after="70" w:line="276" w:lineRule="auto"/>
      </w:pPr>
      <w:r>
        <w:t>Completed content for all five dashboard domains, including measures, interpretive text, and source documentation.</w:t>
      </w:r>
    </w:p>
    <w:p w:rsidR="00BE55D6" w:rsidRDefault="006C7415">
      <w:pPr>
        <w:pStyle w:val="ListParagraph"/>
        <w:numPr>
          <w:ilvl w:val="0"/>
          <w:numId w:val="2"/>
        </w:numPr>
        <w:spacing w:after="70" w:line="276" w:lineRule="auto"/>
      </w:pPr>
      <w:r>
        <w:t>A ten-year historical data series with documentation of gaps and methodological limitations.</w:t>
      </w:r>
    </w:p>
    <w:p w:rsidR="00BE55D6" w:rsidRDefault="006C7415">
      <w:pPr>
        <w:pStyle w:val="ListParagraph"/>
        <w:numPr>
          <w:ilvl w:val="0"/>
          <w:numId w:val="2"/>
        </w:numPr>
        <w:spacing w:after="70" w:line="276" w:lineRule="auto"/>
      </w:pPr>
      <w:r>
        <w:t>A data dictionary defining every published measure, together with a usability and accessibility review.</w:t>
      </w:r>
    </w:p>
    <w:p w:rsidR="00BE55D6" w:rsidRDefault="006C7415">
      <w:pPr>
        <w:pStyle w:val="ListParagraph"/>
        <w:numPr>
          <w:ilvl w:val="0"/>
          <w:numId w:val="2"/>
        </w:numPr>
        <w:spacing w:after="70" w:line="276" w:lineRule="auto"/>
      </w:pPr>
      <w:r>
        <w:t>A set of program stories with documented permissions, a refresh protocol, and a transition memorandum.</w:t>
      </w:r>
    </w:p>
    <w:p w:rsidR="00BE55D6" w:rsidRDefault="006C7415">
      <w:pPr>
        <w:pStyle w:val="Heading2"/>
        <w:spacing w:before="260" w:after="120"/>
      </w:pPr>
      <w:r>
        <w:rPr>
          <w:b/>
          <w:bCs/>
          <w:color w:val="12312B"/>
          <w:sz w:val="24"/>
          <w:szCs w:val="24"/>
        </w:rPr>
        <w:lastRenderedPageBreak/>
        <w:t>Learning Objectives</w:t>
      </w:r>
    </w:p>
    <w:p w:rsidR="00BE55D6" w:rsidRDefault="006C7415">
      <w:pPr>
        <w:spacing w:after="120" w:line="276" w:lineRule="auto"/>
      </w:pPr>
      <w:r>
        <w:t>By the conclusion of the placement, the intern will be able to:</w:t>
      </w:r>
    </w:p>
    <w:p w:rsidR="00BE55D6" w:rsidRDefault="006C7415">
      <w:pPr>
        <w:pStyle w:val="ListParagraph"/>
        <w:numPr>
          <w:ilvl w:val="0"/>
          <w:numId w:val="2"/>
        </w:numPr>
        <w:spacing w:after="70" w:line="276" w:lineRule="auto"/>
      </w:pPr>
      <w:r>
        <w:t>Define, document, and defend a set of program measures tied to stated programmatic questions.</w:t>
      </w:r>
    </w:p>
    <w:p w:rsidR="00BE55D6" w:rsidRDefault="006C7415">
      <w:pPr>
        <w:pStyle w:val="ListParagraph"/>
        <w:numPr>
          <w:ilvl w:val="0"/>
          <w:numId w:val="2"/>
        </w:numPr>
        <w:spacing w:after="70" w:line="276" w:lineRule="auto"/>
      </w:pPr>
      <w:r>
        <w:t>Construct a longitudinal data series and articulate its limitations.</w:t>
      </w:r>
    </w:p>
    <w:p w:rsidR="00BE55D6" w:rsidRDefault="006C7415">
      <w:pPr>
        <w:pStyle w:val="ListParagraph"/>
        <w:numPr>
          <w:ilvl w:val="0"/>
          <w:numId w:val="2"/>
        </w:numPr>
        <w:spacing w:after="70" w:line="276" w:lineRule="auto"/>
      </w:pPr>
      <w:r>
        <w:t>Interpret workforce development data within the context of rural and underserved community need.</w:t>
      </w:r>
    </w:p>
    <w:p w:rsidR="00BE55D6" w:rsidRDefault="006C7415">
      <w:pPr>
        <w:pStyle w:val="ListParagraph"/>
        <w:numPr>
          <w:ilvl w:val="0"/>
          <w:numId w:val="2"/>
        </w:numPr>
        <w:spacing w:after="70" w:line="276" w:lineRule="auto"/>
      </w:pPr>
      <w:r>
        <w:t>Apply accessibility and plain-language standards to public data presentation.</w:t>
      </w:r>
    </w:p>
    <w:p w:rsidR="00BE55D6" w:rsidRDefault="006C7415">
      <w:pPr>
        <w:pStyle w:val="ListParagraph"/>
        <w:numPr>
          <w:ilvl w:val="0"/>
          <w:numId w:val="2"/>
        </w:numPr>
        <w:spacing w:after="70" w:line="276" w:lineRule="auto"/>
      </w:pPr>
      <w:r>
        <w:t>Communicate the relationship between program activity and workforce outcomes to a general audience.</w:t>
      </w:r>
    </w:p>
    <w:p w:rsidR="00BE55D6" w:rsidRDefault="006C7415">
      <w:pPr>
        <w:pStyle w:val="Heading3"/>
        <w:spacing w:before="200" w:after="90"/>
      </w:pPr>
      <w:r>
        <w:rPr>
          <w:b/>
          <w:bCs/>
          <w:color w:val="00693E"/>
          <w:sz w:val="21"/>
          <w:szCs w:val="21"/>
        </w:rPr>
        <w:t>Competency alignment</w:t>
      </w:r>
    </w:p>
    <w:p w:rsidR="00BE55D6" w:rsidRDefault="006C7415">
      <w:pPr>
        <w:spacing w:after="140" w:line="276" w:lineRule="auto"/>
      </w:pPr>
      <w:r>
        <w:t>This placement aligns with the CEPH foundational competencies addressing analysis of data using appropriate software, interpretation of results for public health practice, and audience-appropriate communication of public health content. It is well suited to an Applied Practice Experience or to a capstone with a data communication focus. Final competency mapping is confirmed with the intern's academic program before the term begins.</w:t>
      </w:r>
    </w:p>
    <w:p w:rsidR="00BE55D6" w:rsidRDefault="006C7415">
      <w:pPr>
        <w:pStyle w:val="Heading2"/>
        <w:spacing w:before="260" w:after="120"/>
      </w:pPr>
      <w:r>
        <w:rPr>
          <w:b/>
          <w:bCs/>
          <w:color w:val="12312B"/>
          <w:sz w:val="24"/>
          <w:szCs w:val="24"/>
        </w:rPr>
        <w:t>Qualifications</w:t>
      </w:r>
    </w:p>
    <w:p w:rsidR="00BE55D6" w:rsidRDefault="006C7415">
      <w:pPr>
        <w:pStyle w:val="Heading3"/>
        <w:spacing w:before="200" w:after="90"/>
      </w:pPr>
      <w:r>
        <w:rPr>
          <w:b/>
          <w:bCs/>
          <w:color w:val="00693E"/>
          <w:sz w:val="21"/>
          <w:szCs w:val="21"/>
        </w:rPr>
        <w:t>Required</w:t>
      </w:r>
    </w:p>
    <w:p w:rsidR="00BE55D6" w:rsidRDefault="006C7415">
      <w:pPr>
        <w:pStyle w:val="ListParagraph"/>
        <w:numPr>
          <w:ilvl w:val="0"/>
          <w:numId w:val="2"/>
        </w:numPr>
        <w:spacing w:after="70" w:line="276" w:lineRule="auto"/>
      </w:pPr>
      <w:r>
        <w:t>Current enrollment in a graduate or professional degree program, or completion of such a degree within the past two years.</w:t>
      </w:r>
    </w:p>
    <w:p w:rsidR="00BE55D6" w:rsidRDefault="006C7415">
      <w:pPr>
        <w:pStyle w:val="ListParagraph"/>
        <w:numPr>
          <w:ilvl w:val="0"/>
          <w:numId w:val="2"/>
        </w:numPr>
        <w:spacing w:after="70" w:line="276" w:lineRule="auto"/>
      </w:pPr>
      <w:r>
        <w:t>Facility with spreadsheets and comfort working with incomplete or inconsistent source records.</w:t>
      </w:r>
    </w:p>
    <w:p w:rsidR="00BE55D6" w:rsidRDefault="006C7415">
      <w:pPr>
        <w:pStyle w:val="ListParagraph"/>
        <w:numPr>
          <w:ilvl w:val="0"/>
          <w:numId w:val="2"/>
        </w:numPr>
        <w:spacing w:after="70" w:line="276" w:lineRule="auto"/>
      </w:pPr>
      <w:r>
        <w:t>Strong written communication, since much of the assignment involves drafting text for external audiences.</w:t>
      </w:r>
    </w:p>
    <w:p w:rsidR="00BE55D6" w:rsidRDefault="006C7415">
      <w:pPr>
        <w:pStyle w:val="ListParagraph"/>
        <w:numPr>
          <w:ilvl w:val="0"/>
          <w:numId w:val="2"/>
        </w:numPr>
        <w:spacing w:after="70" w:line="276" w:lineRule="auto"/>
      </w:pPr>
      <w:r>
        <w:t>Ability to work independently between scheduled supervision meetings.</w:t>
      </w:r>
    </w:p>
    <w:p w:rsidR="00BE55D6" w:rsidRDefault="006C7415">
      <w:pPr>
        <w:pStyle w:val="ListParagraph"/>
        <w:numPr>
          <w:ilvl w:val="0"/>
          <w:numId w:val="2"/>
        </w:numPr>
        <w:spacing w:after="70" w:line="276" w:lineRule="auto"/>
      </w:pPr>
      <w:r>
        <w:t>Discretion in handling participant information and adherence to institutional data privacy requirements.</w:t>
      </w:r>
    </w:p>
    <w:p w:rsidR="00BE55D6" w:rsidRDefault="006C7415">
      <w:pPr>
        <w:pStyle w:val="Heading3"/>
        <w:spacing w:before="200" w:after="90"/>
      </w:pPr>
      <w:r>
        <w:rPr>
          <w:b/>
          <w:bCs/>
          <w:color w:val="00693E"/>
          <w:sz w:val="21"/>
          <w:szCs w:val="21"/>
        </w:rPr>
        <w:t>Preferred</w:t>
      </w:r>
    </w:p>
    <w:p w:rsidR="00BE55D6" w:rsidRDefault="006C7415">
      <w:pPr>
        <w:pStyle w:val="ListParagraph"/>
        <w:numPr>
          <w:ilvl w:val="0"/>
          <w:numId w:val="2"/>
        </w:numPr>
        <w:spacing w:after="70" w:line="276" w:lineRule="auto"/>
      </w:pPr>
      <w:r>
        <w:t>Familiarity with a data visualization tool such as Tableau, Power BI, or a comparable platform.</w:t>
      </w:r>
    </w:p>
    <w:p w:rsidR="00BE55D6" w:rsidRDefault="006C7415">
      <w:pPr>
        <w:pStyle w:val="ListParagraph"/>
        <w:numPr>
          <w:ilvl w:val="0"/>
          <w:numId w:val="2"/>
        </w:numPr>
        <w:spacing w:after="70" w:line="276" w:lineRule="auto"/>
      </w:pPr>
      <w:r>
        <w:t>Experience with mapping software or a web content management system.</w:t>
      </w:r>
    </w:p>
    <w:p w:rsidR="00BE55D6" w:rsidRDefault="006C7415">
      <w:pPr>
        <w:pStyle w:val="ListParagraph"/>
        <w:numPr>
          <w:ilvl w:val="0"/>
          <w:numId w:val="2"/>
        </w:numPr>
        <w:spacing w:after="70" w:line="276" w:lineRule="auto"/>
      </w:pPr>
      <w:r>
        <w:t>Coursework in health informatics, health policy, program evaluation, or data communication.</w:t>
      </w:r>
    </w:p>
    <w:p w:rsidR="00BE55D6" w:rsidRDefault="006C7415">
      <w:pPr>
        <w:pStyle w:val="ListParagraph"/>
        <w:numPr>
          <w:ilvl w:val="0"/>
          <w:numId w:val="2"/>
        </w:numPr>
        <w:spacing w:after="70" w:line="276" w:lineRule="auto"/>
      </w:pPr>
      <w:r>
        <w:t>Interest in rural health, health workforce development, or health equity.</w:t>
      </w:r>
    </w:p>
    <w:p w:rsidR="00BE55D6" w:rsidRDefault="006C7415">
      <w:r>
        <w:br w:type="page"/>
      </w:r>
    </w:p>
    <w:p w:rsidR="00BE55D6" w:rsidRDefault="006C7415">
      <w:pPr>
        <w:pStyle w:val="Heading1"/>
        <w:pBdr>
          <w:bottom w:val="single" w:sz="10" w:space="6" w:color="00693E"/>
        </w:pBdr>
        <w:spacing w:before="320" w:after="180"/>
      </w:pPr>
      <w:r>
        <w:rPr>
          <w:b/>
          <w:bCs/>
          <w:color w:val="00693E"/>
          <w:sz w:val="30"/>
          <w:szCs w:val="30"/>
        </w:rPr>
        <w:lastRenderedPageBreak/>
        <w:t>About the Placements</w:t>
      </w:r>
    </w:p>
    <w:p w:rsidR="00BE55D6" w:rsidRDefault="006C7415">
      <w:pPr>
        <w:spacing w:after="140" w:line="276" w:lineRule="auto"/>
      </w:pPr>
      <w:r>
        <w:t>The New Hampshire AHEC Program Office at the Geisel School of Medicine holds the statewide cooperative agreement through which New Hampshire strengthens the supply, distribution, diversity, and quality of the health and public health workforce serving rural and underserved communities. The Program Office contracts with Northern NH AHEC and Southern NH AHEC to deliver community-based training within their regions, and it carries the statewide functions the award assigns to the recipient: evaluation, subrecipient monitoring, partnership development, the AHEC Scholars curriculum, and the youth pipeline.</w:t>
      </w:r>
    </w:p>
    <w:p w:rsidR="00BE55D6" w:rsidRDefault="006C7415">
      <w:pPr>
        <w:spacing w:after="140" w:line="276" w:lineRule="auto"/>
      </w:pPr>
      <w:r>
        <w:t>The Program Office maintains eight supervised Impact Intern placements, each with a defined portfolio and a named supervising position. The placements exist for two reasons that reinforce one another. The AHEC model develops the health and public health workforce through community-based experiential training, and a program office that provides structured, supervised placements in evaluation, community engagement, pipeline programming, and scholars administration is applying that model to its own operation. Interns gain documented experience in the field they intend to enter, and the program gains a recruitment pathway into the workforce it is funded to strengthen.</w:t>
      </w:r>
    </w:p>
    <w:p w:rsidR="00BE55D6" w:rsidRDefault="006C7415">
      <w:pPr>
        <w:spacing w:after="140" w:line="276" w:lineRule="auto"/>
      </w:pPr>
      <w:r>
        <w:t>These are learning placements rather than staffing solutions, and the number accepted in any term is set by the supervision the responsible position can genuinely provide rather than by the number of students seeking placement. Several placements align with the Applied Practice Experience requirements of graduate public health education, which allows the work to count toward degree completion.</w:t>
      </w:r>
    </w:p>
    <w:p w:rsidR="00BE55D6" w:rsidRDefault="006C7415">
      <w:pPr>
        <w:pStyle w:val="Heading2"/>
        <w:spacing w:before="260" w:after="120"/>
      </w:pPr>
      <w:r>
        <w:rPr>
          <w:b/>
          <w:bCs/>
          <w:color w:val="12312B"/>
          <w:sz w:val="24"/>
          <w:szCs w:val="24"/>
        </w:rPr>
        <w:t>Who These Placements Are For</w:t>
      </w:r>
    </w:p>
    <w:p w:rsidR="00BE55D6" w:rsidRDefault="006C7415">
      <w:pPr>
        <w:spacing w:after="140" w:line="276" w:lineRule="auto"/>
      </w:pPr>
      <w:r>
        <w:t>Seven of the eight positions are designed for graduate and professional students and for recent graduates within two years of degree completion. The Marketing and Communications placement is also open to undergraduate students, since its work draws on communication and design skills many undergraduates already bring. Applicants come from public health, medicine, nursing, physician assistant studies, health policy, education, social work, data science, communications, and related fields. Enrollment at Dartmouth is not required, and applicants from Franklin Pierce University, the University of New Hampshire, and other institutions are welcome.</w:t>
      </w:r>
    </w:p>
    <w:p w:rsidR="00BE55D6" w:rsidRDefault="006C7415">
      <w:pPr>
        <w:spacing w:after="140" w:line="276" w:lineRule="auto"/>
      </w:pPr>
      <w:r>
        <w:t>Recent graduates are eligible on the same terms as enrolled students. For a graduate entering a competitive application cycle for medical school, physician assistant programs, doctoral study, or a fellowship, a placement offers a defined portfolio, a named supervisor who can speak specifically to the work, and a deliverable that can be described concretely rather than in generalities.</w:t>
      </w:r>
    </w:p>
    <w:p w:rsidR="00BE55D6" w:rsidRDefault="006C7415">
      <w:pPr>
        <w:pStyle w:val="Heading2"/>
        <w:spacing w:before="260" w:after="120"/>
      </w:pPr>
      <w:r>
        <w:rPr>
          <w:b/>
          <w:bCs/>
          <w:color w:val="12312B"/>
          <w:sz w:val="24"/>
          <w:szCs w:val="24"/>
        </w:rPr>
        <w:t>Common Terms</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2900"/>
        <w:gridCol w:w="7180"/>
      </w:tblGrid>
      <w:tr w:rsidR="00BE55D6">
        <w:trPr>
          <w:tblHeader/>
        </w:trPr>
        <w:tc>
          <w:tcPr>
            <w:tcW w:w="29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Term</w:t>
            </w:r>
          </w:p>
        </w:tc>
        <w:tc>
          <w:tcPr>
            <w:tcW w:w="718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Provision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Compensation</w:t>
            </w:r>
          </w:p>
        </w:tc>
        <w:tc>
          <w:tcPr>
            <w:tcW w:w="7180" w:type="dxa"/>
            <w:tcMar>
              <w:top w:w="90" w:type="dxa"/>
              <w:left w:w="130" w:type="dxa"/>
              <w:bottom w:w="90" w:type="dxa"/>
              <w:right w:w="130" w:type="dxa"/>
            </w:tcMar>
          </w:tcPr>
          <w:p w:rsidR="00BE55D6" w:rsidRDefault="006C7415">
            <w:pPr>
              <w:spacing w:line="264" w:lineRule="auto"/>
            </w:pPr>
            <w:r>
              <w:rPr>
                <w:sz w:val="19"/>
                <w:szCs w:val="19"/>
              </w:rPr>
              <w:t>Placements are uncompensated and are structured as experiential learning rather than as employment. No salary or stipend is charged to the federal award for these positions.</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Term of service</w:t>
            </w:r>
          </w:p>
        </w:tc>
        <w:tc>
          <w:tcPr>
            <w:tcW w:w="7180" w:type="dxa"/>
            <w:tcMar>
              <w:top w:w="90" w:type="dxa"/>
              <w:left w:w="130" w:type="dxa"/>
              <w:bottom w:w="90" w:type="dxa"/>
              <w:right w:w="130" w:type="dxa"/>
            </w:tcMar>
          </w:tcPr>
          <w:p w:rsidR="00BE55D6" w:rsidRDefault="006C7415">
            <w:pPr>
              <w:spacing w:line="264" w:lineRule="auto"/>
            </w:pPr>
            <w:r>
              <w:rPr>
                <w:sz w:val="19"/>
                <w:szCs w:val="19"/>
              </w:rPr>
              <w:t>Nine, twelve, or eighteen months. The term is selected at the outset, and the start and end dates are fixed in the placement agreement.</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Effort</w:t>
            </w:r>
          </w:p>
        </w:tc>
        <w:tc>
          <w:tcPr>
            <w:tcW w:w="7180" w:type="dxa"/>
            <w:tcMar>
              <w:top w:w="90" w:type="dxa"/>
              <w:left w:w="130" w:type="dxa"/>
              <w:bottom w:w="90" w:type="dxa"/>
              <w:right w:w="130" w:type="dxa"/>
            </w:tcMar>
          </w:tcPr>
          <w:p w:rsidR="00BE55D6" w:rsidRDefault="006C7415">
            <w:pPr>
              <w:spacing w:line="264" w:lineRule="auto"/>
            </w:pPr>
            <w:r>
              <w:rPr>
                <w:sz w:val="19"/>
                <w:szCs w:val="19"/>
              </w:rPr>
              <w:t>Eight to ten hours per week across the full term, scheduled around the intern's academic obligations. Effort during peak program weeks is agreed in advance rather than assumed.</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Supervision</w:t>
            </w:r>
          </w:p>
        </w:tc>
        <w:tc>
          <w:tcPr>
            <w:tcW w:w="7180" w:type="dxa"/>
            <w:tcMar>
              <w:top w:w="90" w:type="dxa"/>
              <w:left w:w="130" w:type="dxa"/>
              <w:bottom w:w="90" w:type="dxa"/>
              <w:right w:w="130" w:type="dxa"/>
            </w:tcMar>
          </w:tcPr>
          <w:p w:rsidR="00BE55D6" w:rsidRDefault="006C7415">
            <w:pPr>
              <w:spacing w:line="264" w:lineRule="auto"/>
            </w:pPr>
            <w:r>
              <w:rPr>
                <w:sz w:val="19"/>
                <w:szCs w:val="19"/>
              </w:rPr>
              <w:t>A scheduled one-to-one meeting each week with the supervising position, plus participation in the weekly Program Office staff meeting.</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lastRenderedPageBreak/>
              <w:t>Learning agreement</w:t>
            </w:r>
          </w:p>
        </w:tc>
        <w:tc>
          <w:tcPr>
            <w:tcW w:w="7180" w:type="dxa"/>
            <w:tcMar>
              <w:top w:w="90" w:type="dxa"/>
              <w:left w:w="130" w:type="dxa"/>
              <w:bottom w:w="90" w:type="dxa"/>
              <w:right w:w="130" w:type="dxa"/>
            </w:tcMar>
          </w:tcPr>
          <w:p w:rsidR="00BE55D6" w:rsidRDefault="006C7415">
            <w:pPr>
              <w:spacing w:line="264" w:lineRule="auto"/>
            </w:pPr>
            <w:r>
              <w:rPr>
                <w:sz w:val="19"/>
                <w:szCs w:val="19"/>
              </w:rPr>
              <w:t>A written agreement at the outset states the portfolio, the learning objectives, the deliverables, the term, and the supervision schedule. It is signed by the intern and the supervising position.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Academic credit</w:t>
            </w:r>
          </w:p>
        </w:tc>
        <w:tc>
          <w:tcPr>
            <w:tcW w:w="7180" w:type="dxa"/>
            <w:tcMar>
              <w:top w:w="90" w:type="dxa"/>
              <w:left w:w="130" w:type="dxa"/>
              <w:bottom w:w="90" w:type="dxa"/>
              <w:right w:w="130" w:type="dxa"/>
            </w:tcMar>
          </w:tcPr>
          <w:p w:rsidR="00BE55D6" w:rsidRDefault="006C7415">
            <w:pPr>
              <w:spacing w:line="264" w:lineRule="auto"/>
            </w:pPr>
            <w:r>
              <w:rPr>
                <w:sz w:val="19"/>
                <w:szCs w:val="19"/>
              </w:rPr>
              <w:t>Placements may be structured to satisfy an Integrated Learning Experience, Applied Practice Experience, a practicum, an independent study, or a capstone. Academic requirements are confirmed with the intern's program before the term begins.</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Assessment</w:t>
            </w:r>
          </w:p>
        </w:tc>
        <w:tc>
          <w:tcPr>
            <w:tcW w:w="7180" w:type="dxa"/>
            <w:tcMar>
              <w:top w:w="90" w:type="dxa"/>
              <w:left w:w="130" w:type="dxa"/>
              <w:bottom w:w="90" w:type="dxa"/>
              <w:right w:w="130" w:type="dxa"/>
            </w:tcMar>
          </w:tcPr>
          <w:p w:rsidR="00BE55D6" w:rsidRDefault="006C7415">
            <w:pPr>
              <w:spacing w:line="264" w:lineRule="auto"/>
            </w:pPr>
            <w:r>
              <w:rPr>
                <w:sz w:val="19"/>
                <w:szCs w:val="19"/>
              </w:rPr>
              <w:t>A mid-term check-in and an end-of-term review, each documented. Interns receive written feedback and may request a letter of reference from the supervising position.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Systems and materials</w:t>
            </w:r>
          </w:p>
        </w:tc>
        <w:tc>
          <w:tcPr>
            <w:tcW w:w="7180" w:type="dxa"/>
            <w:tcMar>
              <w:top w:w="90" w:type="dxa"/>
              <w:left w:w="130" w:type="dxa"/>
              <w:bottom w:w="90" w:type="dxa"/>
              <w:right w:w="130" w:type="dxa"/>
            </w:tcMar>
          </w:tcPr>
          <w:p w:rsidR="00BE55D6" w:rsidRDefault="006C7415">
            <w:pPr>
              <w:spacing w:line="264" w:lineRule="auto"/>
            </w:pPr>
            <w:r>
              <w:rPr>
                <w:sz w:val="19"/>
                <w:szCs w:val="19"/>
              </w:rPr>
              <w:t>Interns receive the same access to systems, software, and program materials as professional staff, consistent with the technology and program operations domain of the budget.</w:t>
            </w:r>
          </w:p>
        </w:tc>
      </w:tr>
    </w:tbl>
    <w:p w:rsidR="00BE55D6" w:rsidRDefault="006C7415">
      <w:pPr>
        <w:pStyle w:val="Heading2"/>
        <w:spacing w:before="260" w:after="120"/>
      </w:pPr>
      <w:r>
        <w:rPr>
          <w:b/>
          <w:bCs/>
          <w:color w:val="12312B"/>
          <w:sz w:val="24"/>
          <w:szCs w:val="24"/>
        </w:rPr>
        <w:t>Term of Service</w:t>
      </w:r>
    </w:p>
    <w:p w:rsidR="00BE55D6" w:rsidRDefault="006C7415">
      <w:pPr>
        <w:spacing w:after="140" w:line="276" w:lineRule="auto"/>
      </w:pPr>
      <w:r>
        <w:t>Every Impact Intern serves a term of nine, twelve, or eighteen months. The three options reflect the different timelines of the eight portfolios. Some align with the academic year, while others follow the grant cycle or benefit from participation across two program cycles. The term is selected before the placement begins and is stated in the learning agreement, so that both the intern and the supervising position are planning against the same schedule.</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1800"/>
        <w:gridCol w:w="2500"/>
        <w:gridCol w:w="5780"/>
      </w:tblGrid>
      <w:tr w:rsidR="00BE55D6">
        <w:trPr>
          <w:tblHeader/>
        </w:trPr>
        <w:tc>
          <w:tcPr>
            <w:tcW w:w="18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Term</w:t>
            </w:r>
          </w:p>
        </w:tc>
        <w:tc>
          <w:tcPr>
            <w:tcW w:w="25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Typical Window</w:t>
            </w:r>
          </w:p>
        </w:tc>
        <w:tc>
          <w:tcPr>
            <w:tcW w:w="578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What the Term Makes Possible</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9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May</w:t>
            </w:r>
          </w:p>
        </w:tc>
        <w:tc>
          <w:tcPr>
            <w:tcW w:w="5780" w:type="dxa"/>
            <w:tcMar>
              <w:top w:w="90" w:type="dxa"/>
              <w:left w:w="130" w:type="dxa"/>
              <w:bottom w:w="90" w:type="dxa"/>
              <w:right w:w="130" w:type="dxa"/>
            </w:tcMar>
          </w:tcPr>
          <w:p w:rsidR="00BE55D6" w:rsidRDefault="006C7415">
            <w:pPr>
              <w:spacing w:line="264" w:lineRule="auto"/>
            </w:pPr>
            <w:r>
              <w:rPr>
                <w:sz w:val="19"/>
                <w:szCs w:val="19"/>
              </w:rPr>
              <w:t>Aligns with the academic year and suits an intern whose availability ends at graduation or at the start of a summer commitment. Covers a full recruitment, selection, and delivery arc for most portfolios, though it stops short of the summer term and the August reporting close.</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12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August</w:t>
            </w:r>
          </w:p>
        </w:tc>
        <w:tc>
          <w:tcPr>
            <w:tcW w:w="5780" w:type="dxa"/>
            <w:tcMar>
              <w:top w:w="90" w:type="dxa"/>
              <w:left w:w="130" w:type="dxa"/>
              <w:bottom w:w="90" w:type="dxa"/>
              <w:right w:w="130" w:type="dxa"/>
            </w:tcMar>
          </w:tcPr>
          <w:p w:rsidR="00BE55D6" w:rsidRDefault="006C7415">
            <w:pPr>
              <w:spacing w:line="264" w:lineRule="auto"/>
            </w:pPr>
            <w:r>
              <w:rPr>
                <w:sz w:val="19"/>
                <w:szCs w:val="19"/>
              </w:rPr>
              <w:t>Aligns with the grant year and carries the intern through one complete program cycle, including summer delivery, completion determinations, the annual performance report, and the August statewide retreat. This is the standard term and the one most portfolios are built around.</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18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the following February, or January through the following June</w:t>
            </w:r>
          </w:p>
        </w:tc>
        <w:tc>
          <w:tcPr>
            <w:tcW w:w="5780" w:type="dxa"/>
            <w:tcMar>
              <w:top w:w="90" w:type="dxa"/>
              <w:left w:w="130" w:type="dxa"/>
              <w:bottom w:w="90" w:type="dxa"/>
              <w:right w:w="130" w:type="dxa"/>
            </w:tcMar>
          </w:tcPr>
          <w:p w:rsidR="00BE55D6" w:rsidRDefault="006C7415">
            <w:pPr>
              <w:spacing w:line="264" w:lineRule="auto"/>
            </w:pPr>
            <w:r>
              <w:rPr>
                <w:sz w:val="19"/>
                <w:szCs w:val="19"/>
              </w:rPr>
              <w:t>Spans two cycles, which allows an intern to apply what the first cycle taught to the planning of the second. Suited to portfolios with longitudinal work, to interns contributing to the competing continuation application, and to recent graduates in a defined gap period before further training.</w:t>
            </w:r>
          </w:p>
        </w:tc>
      </w:tr>
    </w:tbl>
    <w:p w:rsidR="00BE55D6" w:rsidRDefault="006C7415">
      <w:pPr>
        <w:spacing w:before="100" w:after="140" w:line="276" w:lineRule="auto"/>
      </w:pPr>
      <w:r>
        <w:t>Nine- and twelve-month terms may begin at other points in the year where the portfolio and the supervising position can support it. A term may be extended once, from nine months to twelve or from twelve to eighteen, by written amendment to the learning agreement and with the agreement of both the intern and the supervising position. Terms are not shortened after the fact except for cause or for a change in the intern's academic or personal circumstances, since the portfolios are assigned on the assumption that the term will be completed.</w:t>
      </w:r>
    </w:p>
    <w:p w:rsidR="00BE55D6" w:rsidRDefault="006C7415">
      <w:pPr>
        <w:pStyle w:val="Heading2"/>
        <w:spacing w:before="260" w:after="120"/>
      </w:pPr>
      <w:r>
        <w:rPr>
          <w:b/>
          <w:bCs/>
          <w:color w:val="12312B"/>
          <w:sz w:val="24"/>
          <w:szCs w:val="24"/>
        </w:rPr>
        <w:t>Scope of Intern Work</w:t>
      </w:r>
    </w:p>
    <w:p w:rsidR="00BE55D6" w:rsidRDefault="006C7415">
      <w:pPr>
        <w:spacing w:after="140" w:line="276" w:lineRule="auto"/>
      </w:pPr>
      <w:r>
        <w:t>The boundary below is stated deliberately, because placements extend the reach of the professional positions without substituting for them. Every applicant should understand it before applying, and every supervisor is accountable for holding it.</w:t>
      </w:r>
    </w:p>
    <w:p w:rsidR="00BE55D6" w:rsidRDefault="006C7415">
      <w:pPr>
        <w:pStyle w:val="ListParagraph"/>
        <w:numPr>
          <w:ilvl w:val="0"/>
          <w:numId w:val="2"/>
        </w:numPr>
        <w:spacing w:after="70" w:line="276" w:lineRule="auto"/>
      </w:pPr>
      <w:r>
        <w:lastRenderedPageBreak/>
        <w:t>Functions carrying compliance, fiscal, or reporting consequence remain with the five budgeted professional positions. These include subrecipient monitoring determinations, federal reporting submissions, evaluation design, and the execution of center agreements.</w:t>
      </w:r>
    </w:p>
    <w:p w:rsidR="00BE55D6" w:rsidRDefault="006C7415">
      <w:pPr>
        <w:pStyle w:val="ListParagraph"/>
        <w:numPr>
          <w:ilvl w:val="0"/>
          <w:numId w:val="2"/>
        </w:numPr>
        <w:spacing w:after="70" w:line="276" w:lineRule="auto"/>
      </w:pPr>
      <w:r>
        <w:t>Work performed within a placement is reviewed and approved by the supervising position before it enters any program record or federal submission.</w:t>
      </w:r>
    </w:p>
    <w:p w:rsidR="00BE55D6" w:rsidRDefault="006C7415">
      <w:pPr>
        <w:pStyle w:val="ListParagraph"/>
        <w:numPr>
          <w:ilvl w:val="0"/>
          <w:numId w:val="2"/>
        </w:numPr>
        <w:spacing w:after="70" w:line="276" w:lineRule="auto"/>
      </w:pPr>
      <w:r>
        <w:t>Interns do not represent the Program Office to HRSA, to the regional centers, or to partner organizations without the supervising position present or an explicit written delegation for a defined task.</w:t>
      </w:r>
    </w:p>
    <w:p w:rsidR="00BE55D6" w:rsidRDefault="006C7415">
      <w:pPr>
        <w:pStyle w:val="ListParagraph"/>
        <w:numPr>
          <w:ilvl w:val="0"/>
          <w:numId w:val="2"/>
        </w:numPr>
        <w:spacing w:after="70" w:line="276" w:lineRule="auto"/>
      </w:pPr>
      <w:r>
        <w:t>Interns do not make determinations about participant selection, eligibility, or program completion, though they may prepare the materials on which those determinations are made.</w:t>
      </w:r>
    </w:p>
    <w:p w:rsidR="00BE55D6" w:rsidRDefault="006C7415">
      <w:pPr>
        <w:spacing w:before="100" w:after="140" w:line="276" w:lineRule="auto"/>
      </w:pPr>
      <w:r>
        <w:t>Read the other way, the boundary is a commitment to the intern. It means the work assigned is work the intern is prepared to do, that a professional position stands behind every product before it leaves the office, and that no one is asked to carry a federal obligation they did not sign up for.</w:t>
      </w:r>
    </w:p>
    <w:p w:rsidR="00BE55D6" w:rsidRDefault="006C7415">
      <w:pPr>
        <w:pStyle w:val="Heading2"/>
        <w:spacing w:before="260" w:after="120"/>
      </w:pPr>
      <w:r>
        <w:rPr>
          <w:b/>
          <w:bCs/>
          <w:color w:val="12312B"/>
          <w:sz w:val="24"/>
          <w:szCs w:val="24"/>
        </w:rPr>
        <w:t>Expectations of Every Intern</w:t>
      </w:r>
    </w:p>
    <w:p w:rsidR="00BE55D6" w:rsidRDefault="006C7415">
      <w:pPr>
        <w:pStyle w:val="ListParagraph"/>
        <w:numPr>
          <w:ilvl w:val="0"/>
          <w:numId w:val="2"/>
        </w:numPr>
        <w:spacing w:after="70" w:line="276" w:lineRule="auto"/>
      </w:pPr>
      <w:r>
        <w:t>Hold the confidentiality of participant, applicant, and partner information, and complete any training the Program Office or the institution requires before handling it.</w:t>
      </w:r>
    </w:p>
    <w:p w:rsidR="00BE55D6" w:rsidRDefault="006C7415">
      <w:pPr>
        <w:pStyle w:val="ListParagraph"/>
        <w:numPr>
          <w:ilvl w:val="0"/>
          <w:numId w:val="2"/>
        </w:numPr>
        <w:spacing w:after="70" w:line="276" w:lineRule="auto"/>
      </w:pPr>
      <w:r>
        <w:t>Complete assigned work by agreed dates, and raise a conflict or a delay early enough that it can be solved rather than absorbed.</w:t>
      </w:r>
    </w:p>
    <w:p w:rsidR="00BE55D6" w:rsidRDefault="006C7415">
      <w:pPr>
        <w:pStyle w:val="ListParagraph"/>
        <w:numPr>
          <w:ilvl w:val="0"/>
          <w:numId w:val="2"/>
        </w:numPr>
        <w:spacing w:after="70" w:line="276" w:lineRule="auto"/>
      </w:pPr>
      <w:r>
        <w:t>Attend the weekly supervision meeting and the Program Office staff meeting, prepared with progress, questions, and anything needing a decision.</w:t>
      </w:r>
    </w:p>
    <w:p w:rsidR="00BE55D6" w:rsidRDefault="006C7415">
      <w:pPr>
        <w:pStyle w:val="ListParagraph"/>
        <w:numPr>
          <w:ilvl w:val="0"/>
          <w:numId w:val="2"/>
        </w:numPr>
        <w:spacing w:after="70" w:line="276" w:lineRule="auto"/>
      </w:pPr>
      <w:r>
        <w:t>Represent the program professionally with students, preceptors, community partners, faculty, and center staff, recognizing that many of these relationships predate the placement and will outlast it.</w:t>
      </w:r>
    </w:p>
    <w:p w:rsidR="00BE55D6" w:rsidRDefault="006C7415">
      <w:pPr>
        <w:pStyle w:val="ListParagraph"/>
        <w:numPr>
          <w:ilvl w:val="0"/>
          <w:numId w:val="2"/>
        </w:numPr>
        <w:spacing w:after="70" w:line="276" w:lineRule="auto"/>
      </w:pPr>
      <w:r>
        <w:t xml:space="preserve">Ask when something is unclear. Interns are not expected to arrive knowing federal grant administration. Note: </w:t>
      </w:r>
      <w:r>
        <w:rPr>
          <w:i/>
        </w:rPr>
        <w:t>a question asked early is materially less costly than a correction made later.</w:t>
      </w:r>
    </w:p>
    <w:p w:rsidR="00BE55D6" w:rsidRDefault="006C7415">
      <w:r>
        <w:br w:type="page"/>
      </w:r>
    </w:p>
    <w:p w:rsidR="00BE55D6" w:rsidRDefault="006C7415">
      <w:pPr>
        <w:pStyle w:val="Heading1"/>
        <w:pBdr>
          <w:bottom w:val="single" w:sz="10" w:space="6" w:color="00693E"/>
        </w:pBdr>
        <w:spacing w:before="320" w:after="180"/>
      </w:pPr>
      <w:r>
        <w:rPr>
          <w:b/>
          <w:bCs/>
          <w:color w:val="00693E"/>
          <w:sz w:val="30"/>
          <w:szCs w:val="30"/>
        </w:rPr>
        <w:lastRenderedPageBreak/>
        <w:t>Applying</w:t>
      </w:r>
    </w:p>
    <w:p w:rsidR="00BE55D6" w:rsidRDefault="006C7415">
      <w:pPr>
        <w:spacing w:after="140" w:line="276" w:lineRule="auto"/>
      </w:pPr>
      <w:r>
        <w:t>Applications are reviewed on a rolling basis, and placements are confirmed in advance of each academic term. Because the number accepted is set by available supervision rather than by demand, applicants are encouraged to inquire early and to indicate a second portfolio of interest.</w:t>
      </w:r>
    </w:p>
    <w:p w:rsidR="00BE55D6" w:rsidRDefault="006C7415">
      <w:pPr>
        <w:pStyle w:val="Heading2"/>
        <w:spacing w:before="260" w:after="120"/>
      </w:pPr>
      <w:r>
        <w:rPr>
          <w:b/>
          <w:bCs/>
          <w:color w:val="12312B"/>
          <w:sz w:val="24"/>
          <w:szCs w:val="24"/>
        </w:rPr>
        <w:t>How to Apply</w:t>
      </w:r>
    </w:p>
    <w:p w:rsidR="00BE55D6" w:rsidRDefault="006C7415">
      <w:pPr>
        <w:pStyle w:val="ListParagraph"/>
        <w:numPr>
          <w:ilvl w:val="0"/>
          <w:numId w:val="2"/>
        </w:numPr>
        <w:spacing w:after="70" w:line="276" w:lineRule="auto"/>
      </w:pPr>
      <w:r>
        <w:t>Submit a current resume or curriculum vitae.</w:t>
      </w:r>
    </w:p>
    <w:p w:rsidR="00BE55D6" w:rsidRDefault="006C7415">
      <w:pPr>
        <w:pStyle w:val="ListParagraph"/>
        <w:numPr>
          <w:ilvl w:val="0"/>
          <w:numId w:val="2"/>
        </w:numPr>
        <w:spacing w:after="70" w:line="276" w:lineRule="auto"/>
      </w:pPr>
      <w:r>
        <w:t>Submit a letter of interest of no more than one page identifying the placement sought, what the applicant hopes to learn, and what they bring to the portfolio.</w:t>
      </w:r>
    </w:p>
    <w:p w:rsidR="00BE55D6" w:rsidRDefault="006C7415">
      <w:pPr>
        <w:pStyle w:val="ListParagraph"/>
        <w:numPr>
          <w:ilvl w:val="0"/>
          <w:numId w:val="2"/>
        </w:numPr>
        <w:spacing w:after="70" w:line="276" w:lineRule="auto"/>
      </w:pPr>
      <w:r>
        <w:t>Identify any academic requirement the placement would satisfy, including an Applied Practice Experience, practicum, independent study, or capstone, together with the name of the faculty member or coordinator who approves it.</w:t>
      </w:r>
    </w:p>
    <w:p w:rsidR="00BE55D6" w:rsidRDefault="006C7415">
      <w:pPr>
        <w:pStyle w:val="ListParagraph"/>
        <w:numPr>
          <w:ilvl w:val="0"/>
          <w:numId w:val="2"/>
        </w:numPr>
        <w:spacing w:after="70" w:line="276" w:lineRule="auto"/>
      </w:pPr>
      <w:r>
        <w:t>Indicate the term of service sought — nine, twelve, or eighteen months — together with a preferred start date and the number of hours per week that can realistically be committed.</w:t>
      </w:r>
    </w:p>
    <w:p w:rsidR="00BE55D6" w:rsidRDefault="006C7415">
      <w:pPr>
        <w:pStyle w:val="ListParagraph"/>
        <w:numPr>
          <w:ilvl w:val="0"/>
          <w:numId w:val="2"/>
        </w:numPr>
        <w:spacing w:after="70" w:line="276" w:lineRule="auto"/>
      </w:pPr>
      <w:r>
        <w:t>Provide the name and contact information of one academic or professional reference.</w:t>
      </w:r>
    </w:p>
    <w:p w:rsidR="00BE55D6" w:rsidRDefault="006C7415">
      <w:pPr>
        <w:spacing w:before="100" w:after="140" w:line="276" w:lineRule="auto"/>
      </w:pPr>
      <w:r>
        <w:t>Materials are submitted to the New Hampshire AHEC Program Office at the Geisel School of Medicine. Applicants selected for consideration meet with the supervising position to discuss fit, scope, and the terms of the placement agreement before an offer is made.</w:t>
      </w:r>
    </w:p>
    <w:p w:rsidR="00BE55D6" w:rsidRDefault="006C7415">
      <w:pPr>
        <w:pStyle w:val="Heading2"/>
        <w:spacing w:before="260" w:after="120"/>
      </w:pPr>
      <w:r>
        <w:rPr>
          <w:b/>
          <w:bCs/>
          <w:color w:val="12312B"/>
          <w:sz w:val="24"/>
          <w:szCs w:val="24"/>
        </w:rPr>
        <w:t>Selection</w:t>
      </w:r>
    </w:p>
    <w:p w:rsidR="00BE55D6" w:rsidRDefault="006C7415">
      <w:pPr>
        <w:spacing w:after="140" w:line="276" w:lineRule="auto"/>
      </w:pPr>
      <w:r>
        <w:t>Selection considers the alignment between the applicant's stated learning goals and the portfolio, the applicant's readiness to carry the work with the level of supervision the position can provide, and the applicant's ability to complete the term of service the portfolio requires. The Program Office recruits deliberately from across disciplines and institutions, and applications from students and recent graduates whose backgrounds are underrepresented in the health and public health professions are particularly welcome.</w:t>
      </w:r>
    </w:p>
    <w:p w:rsidR="00BE55D6" w:rsidRDefault="006C7415">
      <w:pPr>
        <w:pBdr>
          <w:top w:val="single" w:sz="6" w:space="8" w:color="C9D6CE"/>
        </w:pBdr>
        <w:spacing w:before="400"/>
      </w:pPr>
      <w:r>
        <w:rPr>
          <w:i/>
          <w:iCs/>
          <w:color w:val="5A5A5A"/>
          <w:sz w:val="17"/>
          <w:szCs w:val="17"/>
        </w:rPr>
        <w:t>Prepared by the New Hampshire AHEC Program Office at the Geisel School of Medicine at Dartmouth. These descriptions are maintained as a working reference and are revised as the staffing structure, the cooperative agreement, and program conditions require. Placements are uncompensated experiential learning opportunities and do not constitute an offer of employment.</w:t>
      </w:r>
    </w:p>
    <w:sectPr w:rsidR="00BE55D6">
      <w:headerReference w:type="default" r:id="rId9"/>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5EA7" w:rsidRDefault="004A5EA7">
      <w:r>
        <w:separator/>
      </w:r>
    </w:p>
  </w:endnote>
  <w:endnote w:type="continuationSeparator" w:id="0">
    <w:p w:rsidR="004A5EA7" w:rsidRDefault="004A5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415" w:rsidRDefault="006C7415">
    <w:pPr>
      <w:jc w:val="center"/>
    </w:pPr>
    <w:r>
      <w:rPr>
        <w:color w:val="5A5A5A"/>
        <w:sz w:val="16"/>
        <w:szCs w:val="16"/>
      </w:rPr>
      <w:t xml:space="preserve">Page </w:t>
    </w:r>
    <w:r>
      <w:rPr>
        <w:color w:val="5A5A5A"/>
        <w:sz w:val="16"/>
        <w:szCs w:val="16"/>
      </w:rPr>
      <w:fldChar w:fldCharType="begin"/>
    </w:r>
    <w:r>
      <w:rPr>
        <w:color w:val="5A5A5A"/>
        <w:sz w:val="16"/>
        <w:szCs w:val="16"/>
      </w:rPr>
      <w:instrText>PAGE</w:instrText>
    </w:r>
    <w:r>
      <w:rPr>
        <w:color w:val="5A5A5A"/>
        <w:sz w:val="16"/>
        <w:szCs w:val="16"/>
      </w:rPr>
      <w:fldChar w:fldCharType="separate"/>
    </w:r>
    <w:r>
      <w:rPr>
        <w:noProof/>
        <w:color w:val="5A5A5A"/>
        <w:sz w:val="16"/>
        <w:szCs w:val="16"/>
      </w:rPr>
      <w:t>1</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5EA7" w:rsidRDefault="004A5EA7">
      <w:r>
        <w:separator/>
      </w:r>
    </w:p>
  </w:footnote>
  <w:footnote w:type="continuationSeparator" w:id="0">
    <w:p w:rsidR="004A5EA7" w:rsidRDefault="004A5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415" w:rsidRDefault="006C7415">
    <w:pPr>
      <w:pBdr>
        <w:bottom w:val="single" w:sz="4" w:space="4" w:color="C9D6CE"/>
      </w:pBdr>
      <w:spacing w:after="120"/>
      <w:jc w:val="right"/>
    </w:pPr>
    <w:r>
      <w:rPr>
        <w:color w:val="5A5A5A"/>
        <w:sz w:val="16"/>
        <w:szCs w:val="16"/>
      </w:rPr>
      <w:t xml:space="preserve">New Hampshire AHEC Program </w:t>
    </w:r>
    <w:proofErr w:type="gramStart"/>
    <w:r>
      <w:rPr>
        <w:color w:val="5A5A5A"/>
        <w:sz w:val="16"/>
        <w:szCs w:val="16"/>
      </w:rPr>
      <w:t>Office  ·</w:t>
    </w:r>
    <w:proofErr w:type="gramEnd"/>
    <w:r>
      <w:rPr>
        <w:color w:val="5A5A5A"/>
        <w:sz w:val="16"/>
        <w:szCs w:val="16"/>
      </w:rPr>
      <w:t xml:space="preserve">  Dashboard Impact Intern  ·  AY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230AF"/>
    <w:multiLevelType w:val="hybridMultilevel"/>
    <w:tmpl w:val="C02E182C"/>
    <w:lvl w:ilvl="0" w:tplc="C9EE4E9E">
      <w:start w:val="1"/>
      <w:numFmt w:val="bullet"/>
      <w:lvlText w:val="●"/>
      <w:lvlJc w:val="left"/>
      <w:pPr>
        <w:ind w:left="720" w:hanging="360"/>
      </w:pPr>
    </w:lvl>
    <w:lvl w:ilvl="1" w:tplc="6616E860">
      <w:start w:val="1"/>
      <w:numFmt w:val="bullet"/>
      <w:lvlText w:val="○"/>
      <w:lvlJc w:val="left"/>
      <w:pPr>
        <w:ind w:left="1440" w:hanging="360"/>
      </w:pPr>
    </w:lvl>
    <w:lvl w:ilvl="2" w:tplc="2D6E4FCA">
      <w:start w:val="1"/>
      <w:numFmt w:val="bullet"/>
      <w:lvlText w:val="■"/>
      <w:lvlJc w:val="left"/>
      <w:pPr>
        <w:ind w:left="2160" w:hanging="360"/>
      </w:pPr>
    </w:lvl>
    <w:lvl w:ilvl="3" w:tplc="6FD0062C">
      <w:start w:val="1"/>
      <w:numFmt w:val="bullet"/>
      <w:lvlText w:val="●"/>
      <w:lvlJc w:val="left"/>
      <w:pPr>
        <w:ind w:left="2880" w:hanging="360"/>
      </w:pPr>
    </w:lvl>
    <w:lvl w:ilvl="4" w:tplc="062C1528">
      <w:start w:val="1"/>
      <w:numFmt w:val="bullet"/>
      <w:lvlText w:val="○"/>
      <w:lvlJc w:val="left"/>
      <w:pPr>
        <w:ind w:left="3600" w:hanging="360"/>
      </w:pPr>
    </w:lvl>
    <w:lvl w:ilvl="5" w:tplc="0890F2B2">
      <w:start w:val="1"/>
      <w:numFmt w:val="bullet"/>
      <w:lvlText w:val="■"/>
      <w:lvlJc w:val="left"/>
      <w:pPr>
        <w:ind w:left="4320" w:hanging="360"/>
      </w:pPr>
    </w:lvl>
    <w:lvl w:ilvl="6" w:tplc="3DD0D18C">
      <w:start w:val="1"/>
      <w:numFmt w:val="bullet"/>
      <w:lvlText w:val="●"/>
      <w:lvlJc w:val="left"/>
      <w:pPr>
        <w:ind w:left="5040" w:hanging="360"/>
      </w:pPr>
    </w:lvl>
    <w:lvl w:ilvl="7" w:tplc="8DF6A3C0">
      <w:start w:val="1"/>
      <w:numFmt w:val="bullet"/>
      <w:lvlText w:val="●"/>
      <w:lvlJc w:val="left"/>
      <w:pPr>
        <w:ind w:left="5760" w:hanging="360"/>
      </w:pPr>
    </w:lvl>
    <w:lvl w:ilvl="8" w:tplc="9EACB852">
      <w:start w:val="1"/>
      <w:numFmt w:val="bullet"/>
      <w:lvlText w:val="●"/>
      <w:lvlJc w:val="left"/>
      <w:pPr>
        <w:ind w:left="6480" w:hanging="360"/>
      </w:pPr>
    </w:lvl>
  </w:abstractNum>
  <w:abstractNum w:abstractNumId="1" w15:restartNumberingAfterBreak="0">
    <w:nsid w:val="693B48B1"/>
    <w:multiLevelType w:val="hybridMultilevel"/>
    <w:tmpl w:val="FCD4DC74"/>
    <w:lvl w:ilvl="0" w:tplc="02A607DA">
      <w:start w:val="1"/>
      <w:numFmt w:val="bullet"/>
      <w:lvlText w:val="•"/>
      <w:lvlJc w:val="left"/>
      <w:pPr>
        <w:ind w:left="431" w:hanging="259"/>
      </w:pPr>
    </w:lvl>
    <w:lvl w:ilvl="1" w:tplc="805E0784">
      <w:numFmt w:val="decimal"/>
      <w:lvlText w:val=""/>
      <w:lvlJc w:val="left"/>
    </w:lvl>
    <w:lvl w:ilvl="2" w:tplc="CB9A83A6">
      <w:numFmt w:val="decimal"/>
      <w:lvlText w:val=""/>
      <w:lvlJc w:val="left"/>
    </w:lvl>
    <w:lvl w:ilvl="3" w:tplc="1CC64C68">
      <w:numFmt w:val="decimal"/>
      <w:lvlText w:val=""/>
      <w:lvlJc w:val="left"/>
    </w:lvl>
    <w:lvl w:ilvl="4" w:tplc="8FE249AA">
      <w:numFmt w:val="decimal"/>
      <w:lvlText w:val=""/>
      <w:lvlJc w:val="left"/>
    </w:lvl>
    <w:lvl w:ilvl="5" w:tplc="8CD417B2">
      <w:numFmt w:val="decimal"/>
      <w:lvlText w:val=""/>
      <w:lvlJc w:val="left"/>
    </w:lvl>
    <w:lvl w:ilvl="6" w:tplc="56EACF80">
      <w:numFmt w:val="decimal"/>
      <w:lvlText w:val=""/>
      <w:lvlJc w:val="left"/>
    </w:lvl>
    <w:lvl w:ilvl="7" w:tplc="113A49D4">
      <w:numFmt w:val="decimal"/>
      <w:lvlText w:val=""/>
      <w:lvlJc w:val="left"/>
    </w:lvl>
    <w:lvl w:ilvl="8" w:tplc="A560E156">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5D6"/>
    <w:rsid w:val="00013BAA"/>
    <w:rsid w:val="002E37CC"/>
    <w:rsid w:val="004A5EA7"/>
    <w:rsid w:val="005820B6"/>
    <w:rsid w:val="00633CDD"/>
    <w:rsid w:val="006C7415"/>
    <w:rsid w:val="00BE55D6"/>
    <w:rsid w:val="00C17496"/>
    <w:rsid w:val="00C9409B"/>
    <w:rsid w:val="00E03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D526285-55A7-2643-B15C-55A9C23B9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1F1F1F"/>
        <w:sz w:val="21"/>
        <w:szCs w:val="21"/>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92137">
      <w:bodyDiv w:val="1"/>
      <w:marLeft w:val="0"/>
      <w:marRight w:val="0"/>
      <w:marTop w:val="0"/>
      <w:marBottom w:val="0"/>
      <w:divBdr>
        <w:top w:val="none" w:sz="0" w:space="0" w:color="auto"/>
        <w:left w:val="none" w:sz="0" w:space="0" w:color="auto"/>
        <w:bottom w:val="none" w:sz="0" w:space="0" w:color="auto"/>
        <w:right w:val="none" w:sz="0" w:space="0" w:color="auto"/>
      </w:divBdr>
    </w:div>
    <w:div w:id="494345380">
      <w:bodyDiv w:val="1"/>
      <w:marLeft w:val="0"/>
      <w:marRight w:val="0"/>
      <w:marTop w:val="0"/>
      <w:marBottom w:val="0"/>
      <w:divBdr>
        <w:top w:val="none" w:sz="0" w:space="0" w:color="auto"/>
        <w:left w:val="none" w:sz="0" w:space="0" w:color="auto"/>
        <w:bottom w:val="none" w:sz="0" w:space="0" w:color="auto"/>
        <w:right w:val="none" w:sz="0" w:space="0" w:color="auto"/>
      </w:divBdr>
    </w:div>
    <w:div w:id="758065953">
      <w:bodyDiv w:val="1"/>
      <w:marLeft w:val="0"/>
      <w:marRight w:val="0"/>
      <w:marTop w:val="0"/>
      <w:marBottom w:val="0"/>
      <w:divBdr>
        <w:top w:val="none" w:sz="0" w:space="0" w:color="auto"/>
        <w:left w:val="none" w:sz="0" w:space="0" w:color="auto"/>
        <w:bottom w:val="none" w:sz="0" w:space="0" w:color="auto"/>
        <w:right w:val="none" w:sz="0" w:space="0" w:color="auto"/>
      </w:divBdr>
    </w:div>
    <w:div w:id="854539468">
      <w:bodyDiv w:val="1"/>
      <w:marLeft w:val="0"/>
      <w:marRight w:val="0"/>
      <w:marTop w:val="0"/>
      <w:marBottom w:val="0"/>
      <w:divBdr>
        <w:top w:val="none" w:sz="0" w:space="0" w:color="auto"/>
        <w:left w:val="none" w:sz="0" w:space="0" w:color="auto"/>
        <w:bottom w:val="none" w:sz="0" w:space="0" w:color="auto"/>
        <w:right w:val="none" w:sz="0" w:space="0" w:color="auto"/>
      </w:divBdr>
    </w:div>
    <w:div w:id="1222130998">
      <w:bodyDiv w:val="1"/>
      <w:marLeft w:val="0"/>
      <w:marRight w:val="0"/>
      <w:marTop w:val="0"/>
      <w:marBottom w:val="0"/>
      <w:divBdr>
        <w:top w:val="none" w:sz="0" w:space="0" w:color="auto"/>
        <w:left w:val="none" w:sz="0" w:space="0" w:color="auto"/>
        <w:bottom w:val="none" w:sz="0" w:space="0" w:color="auto"/>
        <w:right w:val="none" w:sz="0" w:space="0" w:color="auto"/>
      </w:divBdr>
    </w:div>
    <w:div w:id="1543861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2627</Words>
  <Characters>14976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Alicia L. Battle</cp:lastModifiedBy>
  <cp:revision>2</cp:revision>
  <cp:lastPrinted>2026-09-30T15:23:00Z</cp:lastPrinted>
  <dcterms:created xsi:type="dcterms:W3CDTF">2026-09-30T16:40:00Z</dcterms:created>
  <dcterms:modified xsi:type="dcterms:W3CDTF">2026-09-30T16:40:00Z</dcterms:modified>
</cp:coreProperties>
</file>