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55D6" w:rsidRDefault="006C7415">
      <w:pPr>
        <w:tabs>
          <w:tab w:val="right" w:pos="10080"/>
        </w:tabs>
        <w:spacing w:after="720"/>
      </w:pPr>
      <w:bookmarkStart w:id="0" w:name="_GoBack"/>
      <w:bookmarkEnd w:id="0"/>
      <w:r>
        <w:rPr>
          <w:noProof/>
        </w:rPr>
        <w:drawing>
          <wp:inline distT="0" distB="0" distL="0" distR="0">
            <wp:extent cx="2197936" cy="566928"/>
            <wp:effectExtent l="0" t="0" r="0" b="0"/>
            <wp:docPr id="9001" name="New Hampshire Area Health Education Center logo" descr="New Hampshire Area Health Education Cen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New Hampshire Area Health Education Center logo"/>
                    <pic:cNvPicPr/>
                  </pic:nvPicPr>
                  <pic:blipFill>
                    <a:blip r:embed="rId7"/>
                    <a:stretch>
                      <a:fillRect/>
                    </a:stretch>
                  </pic:blipFill>
                  <pic:spPr>
                    <a:xfrm>
                      <a:off x="0" y="0"/>
                      <a:ext cx="2197936" cy="566928"/>
                    </a:xfrm>
                    <a:prstGeom prst="rect">
                      <a:avLst/>
                    </a:prstGeom>
                  </pic:spPr>
                </pic:pic>
              </a:graphicData>
            </a:graphic>
          </wp:inline>
        </w:drawing>
      </w:r>
      <w:r>
        <w:tab/>
      </w:r>
      <w:r>
        <w:rPr>
          <w:noProof/>
        </w:rPr>
        <w:drawing>
          <wp:inline distT="0" distB="0" distL="0" distR="0">
            <wp:extent cx="1664375" cy="566928"/>
            <wp:effectExtent l="0" t="0" r="0" b="0"/>
            <wp:docPr id="9002" name="Dartmouth Geisel School of Medicine logo" descr="Dartmouth Geisel School of Medici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2" name="Dartmouth Geisel School of Medicine logo"/>
                    <pic:cNvPicPr/>
                  </pic:nvPicPr>
                  <pic:blipFill>
                    <a:blip r:embed="rId8"/>
                    <a:stretch>
                      <a:fillRect/>
                    </a:stretch>
                  </pic:blipFill>
                  <pic:spPr>
                    <a:xfrm>
                      <a:off x="0" y="0"/>
                      <a:ext cx="1664375" cy="566928"/>
                    </a:xfrm>
                    <a:prstGeom prst="rect">
                      <a:avLst/>
                    </a:prstGeom>
                  </pic:spPr>
                </pic:pic>
              </a:graphicData>
            </a:graphic>
          </wp:inline>
        </w:drawing>
      </w:r>
    </w:p>
    <w:p w:rsidR="00BE55D6" w:rsidRDefault="006C7415">
      <w:pPr>
        <w:spacing w:before="480" w:after="60"/>
      </w:pPr>
      <w:r>
        <w:rPr>
          <w:b/>
          <w:bCs/>
          <w:color w:val="00693E"/>
          <w:spacing w:val="30"/>
          <w:sz w:val="22"/>
          <w:szCs w:val="22"/>
        </w:rPr>
        <w:t>NEW HAMPSHIRE AHEC PROGRAM OFFICE</w:t>
      </w:r>
    </w:p>
    <w:p w:rsidR="00BE55D6" w:rsidRDefault="006C7415">
      <w:pPr>
        <w:spacing w:after="400"/>
      </w:pPr>
      <w:r>
        <w:rPr>
          <w:color w:val="5A5A5A"/>
        </w:rPr>
        <w:t>Geisel School of Medicine at Dartmouth</w:t>
      </w:r>
    </w:p>
    <w:p w:rsidR="00BE55D6" w:rsidRDefault="006C7415">
      <w:pPr>
        <w:spacing w:after="100"/>
      </w:pPr>
      <w:r>
        <w:rPr>
          <w:b/>
          <w:bCs/>
          <w:color w:val="12312B"/>
          <w:sz w:val="52"/>
          <w:szCs w:val="52"/>
        </w:rPr>
        <w:t>Community Engagement Impact Intern</w:t>
      </w:r>
    </w:p>
    <w:p w:rsidR="00BE55D6" w:rsidRDefault="006C7415">
      <w:pPr>
        <w:pBdr>
          <w:bottom w:val="single" w:sz="12" w:space="10" w:color="00693E"/>
        </w:pBdr>
        <w:spacing w:after="500"/>
      </w:pPr>
      <w:r>
        <w:rPr>
          <w:color w:val="5A5A5A"/>
          <w:sz w:val="26"/>
          <w:szCs w:val="26"/>
        </w:rPr>
        <w:t>Impact Intern Position Description</w:t>
      </w:r>
    </w:p>
    <w:p w:rsidR="00BE55D6" w:rsidRDefault="006C7415">
      <w:pPr>
        <w:spacing w:after="60" w:line="276" w:lineRule="auto"/>
      </w:pPr>
      <w:r>
        <w:rPr>
          <w:b/>
          <w:bCs/>
          <w:color w:val="12312B"/>
          <w:sz w:val="22"/>
          <w:szCs w:val="22"/>
        </w:rPr>
        <w:t>Academic Year 2026–2027</w:t>
      </w:r>
    </w:p>
    <w:p w:rsidR="00BE55D6" w:rsidRDefault="006C7415">
      <w:pPr>
        <w:spacing w:after="40" w:line="276" w:lineRule="auto"/>
      </w:pPr>
      <w:r>
        <w:rPr>
          <w:color w:val="5A5A5A"/>
          <w:sz w:val="20"/>
          <w:szCs w:val="20"/>
        </w:rPr>
        <w:t>Cooperative Agreement U77HP03627 · Health Resources and Services Administration</w:t>
      </w:r>
    </w:p>
    <w:p w:rsidR="00BE55D6" w:rsidRDefault="006C7415">
      <w:pPr>
        <w:spacing w:after="40" w:line="276" w:lineRule="auto"/>
      </w:pPr>
      <w:r>
        <w:rPr>
          <w:color w:val="5A5A5A"/>
          <w:sz w:val="20"/>
          <w:szCs w:val="20"/>
        </w:rPr>
        <w:t>Bureau of Health Workforce · Area Health Education Centers Program</w:t>
      </w:r>
    </w:p>
    <w:p w:rsidR="00BE55D6" w:rsidRDefault="006C7415">
      <w:pPr>
        <w:spacing w:after="600" w:line="276" w:lineRule="auto"/>
      </w:pPr>
      <w:r>
        <w:rPr>
          <w:color w:val="5A5A5A"/>
          <w:sz w:val="20"/>
          <w:szCs w:val="20"/>
        </w:rPr>
        <w:t>Trustees of Dartmouth College</w:t>
      </w:r>
    </w:p>
    <w:tbl>
      <w:tblPr>
        <w:tblW w:w="10080" w:type="dxa"/>
        <w:tblBorders>
          <w:top w:val="single" w:sz="4" w:space="0" w:color="C9D6CE"/>
          <w:left w:val="none" w:sz="0" w:space="0" w:color="FFFFFF"/>
          <w:bottom w:val="single" w:sz="4" w:space="0" w:color="C9D6CE"/>
          <w:right w:val="none" w:sz="0" w:space="0" w:color="FFFFFF"/>
          <w:insideH w:val="single" w:sz="4" w:space="0" w:color="DCE5DF"/>
          <w:insideV w:val="none" w:sz="0" w:space="0" w:color="FFFFFF"/>
        </w:tblBorders>
        <w:tblCellMar>
          <w:left w:w="10" w:type="dxa"/>
          <w:right w:w="10" w:type="dxa"/>
        </w:tblCellMar>
        <w:tblLook w:val="0000" w:firstRow="0" w:lastRow="0" w:firstColumn="0" w:lastColumn="0" w:noHBand="0" w:noVBand="0"/>
      </w:tblPr>
      <w:tblGrid>
        <w:gridCol w:w="2600"/>
        <w:gridCol w:w="7480"/>
      </w:tblGrid>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Placement portfolio</w:t>
            </w:r>
          </w:p>
        </w:tc>
        <w:tc>
          <w:tcPr>
            <w:tcW w:w="7480" w:type="dxa"/>
            <w:tcMar>
              <w:top w:w="90" w:type="dxa"/>
              <w:left w:w="130" w:type="dxa"/>
              <w:bottom w:w="90" w:type="dxa"/>
              <w:right w:w="130" w:type="dxa"/>
            </w:tcMar>
          </w:tcPr>
          <w:p w:rsidR="00BE55D6" w:rsidRDefault="006C7415">
            <w:pPr>
              <w:spacing w:line="264" w:lineRule="auto"/>
            </w:pPr>
            <w:r>
              <w:rPr>
                <w:sz w:val="19"/>
                <w:szCs w:val="19"/>
              </w:rPr>
              <w:t>Partner outreach support, meeting preparation, and documentation of coalition and community activity</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Supervising position</w:t>
            </w:r>
          </w:p>
        </w:tc>
        <w:tc>
          <w:tcPr>
            <w:tcW w:w="7480" w:type="dxa"/>
            <w:tcMar>
              <w:top w:w="90" w:type="dxa"/>
              <w:left w:w="130" w:type="dxa"/>
              <w:bottom w:w="90" w:type="dxa"/>
              <w:right w:w="130" w:type="dxa"/>
            </w:tcMar>
          </w:tcPr>
          <w:p w:rsidR="00BE55D6" w:rsidRDefault="00633CDD">
            <w:pPr>
              <w:spacing w:line="264" w:lineRule="auto"/>
            </w:pPr>
            <w:r>
              <w:rPr>
                <w:sz w:val="19"/>
                <w:szCs w:val="19"/>
              </w:rPr>
              <w:t>Director / PI</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Basis</w:t>
            </w:r>
          </w:p>
        </w:tc>
        <w:tc>
          <w:tcPr>
            <w:tcW w:w="7480" w:type="dxa"/>
            <w:tcMar>
              <w:top w:w="90" w:type="dxa"/>
              <w:left w:w="130" w:type="dxa"/>
              <w:bottom w:w="90" w:type="dxa"/>
              <w:right w:w="130" w:type="dxa"/>
            </w:tcMar>
          </w:tcPr>
          <w:p w:rsidR="00BE55D6" w:rsidRDefault="006C7415">
            <w:pPr>
              <w:spacing w:line="264" w:lineRule="auto"/>
            </w:pPr>
            <w:r>
              <w:rPr>
                <w:sz w:val="19"/>
                <w:szCs w:val="19"/>
              </w:rPr>
              <w:t>Uncompensated experiential learning placement; not an employment relationship</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Term of service</w:t>
            </w:r>
          </w:p>
        </w:tc>
        <w:tc>
          <w:tcPr>
            <w:tcW w:w="7480" w:type="dxa"/>
            <w:tcMar>
              <w:top w:w="90" w:type="dxa"/>
              <w:left w:w="130" w:type="dxa"/>
              <w:bottom w:w="90" w:type="dxa"/>
              <w:right w:w="130" w:type="dxa"/>
            </w:tcMar>
          </w:tcPr>
          <w:p w:rsidR="00BE55D6" w:rsidRDefault="006C7415">
            <w:pPr>
              <w:spacing w:line="264" w:lineRule="auto"/>
            </w:pPr>
            <w:r>
              <w:rPr>
                <w:sz w:val="19"/>
                <w:szCs w:val="19"/>
              </w:rPr>
              <w:t>Nine, twelve, or eighteen months, selected at the outset and fixed in the placement agreement</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Recommended term</w:t>
            </w:r>
          </w:p>
        </w:tc>
        <w:tc>
          <w:tcPr>
            <w:tcW w:w="7480" w:type="dxa"/>
            <w:tcMar>
              <w:top w:w="90" w:type="dxa"/>
              <w:left w:w="130" w:type="dxa"/>
              <w:bottom w:w="90" w:type="dxa"/>
              <w:right w:w="130" w:type="dxa"/>
            </w:tcMar>
          </w:tcPr>
          <w:p w:rsidR="00BE55D6" w:rsidRDefault="006C7415">
            <w:pPr>
              <w:spacing w:line="264" w:lineRule="auto"/>
            </w:pPr>
            <w:r>
              <w:rPr>
                <w:sz w:val="19"/>
                <w:szCs w:val="19"/>
              </w:rPr>
              <w:t>Twelve or eighteen months. Partnership work compounds with time, and an eighteen-month term allows an intern to contribute to the competing continuation application and then to see the network respond to it.</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Effort</w:t>
            </w:r>
          </w:p>
        </w:tc>
        <w:tc>
          <w:tcPr>
            <w:tcW w:w="7480" w:type="dxa"/>
            <w:tcMar>
              <w:top w:w="90" w:type="dxa"/>
              <w:left w:w="130" w:type="dxa"/>
              <w:bottom w:w="90" w:type="dxa"/>
              <w:right w:w="130" w:type="dxa"/>
            </w:tcMar>
          </w:tcPr>
          <w:p w:rsidR="00BE55D6" w:rsidRDefault="006C7415">
            <w:pPr>
              <w:spacing w:line="264" w:lineRule="auto"/>
            </w:pPr>
            <w:r>
              <w:rPr>
                <w:sz w:val="19"/>
                <w:szCs w:val="19"/>
              </w:rPr>
              <w:t>8–10 hours per week, scheduled around the intern's academic obligations</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Location</w:t>
            </w:r>
          </w:p>
        </w:tc>
        <w:tc>
          <w:tcPr>
            <w:tcW w:w="7480" w:type="dxa"/>
            <w:tcMar>
              <w:top w:w="90" w:type="dxa"/>
              <w:left w:w="130" w:type="dxa"/>
              <w:bottom w:w="90" w:type="dxa"/>
              <w:right w:w="130" w:type="dxa"/>
            </w:tcMar>
          </w:tcPr>
          <w:p w:rsidR="00BE55D6" w:rsidRDefault="006C7415">
            <w:pPr>
              <w:spacing w:line="264" w:lineRule="auto"/>
            </w:pPr>
            <w:r>
              <w:rPr>
                <w:sz w:val="19"/>
                <w:szCs w:val="19"/>
              </w:rPr>
              <w:t>Hybrid. Program Office, Geisel School of Medicine at Dartmouth, with remote work as approved</w:t>
            </w:r>
          </w:p>
        </w:tc>
      </w:tr>
      <w:tr w:rsidR="00BE55D6">
        <w:tc>
          <w:tcPr>
            <w:tcW w:w="2600" w:type="dxa"/>
            <w:shd w:val="clear" w:color="auto" w:fill="EEF3F0"/>
            <w:tcMar>
              <w:top w:w="90" w:type="dxa"/>
              <w:left w:w="130" w:type="dxa"/>
              <w:bottom w:w="90" w:type="dxa"/>
              <w:right w:w="130" w:type="dxa"/>
            </w:tcMar>
          </w:tcPr>
          <w:p w:rsidR="00BE55D6" w:rsidRDefault="006C7415">
            <w:pPr>
              <w:spacing w:line="264" w:lineRule="auto"/>
            </w:pPr>
            <w:r>
              <w:rPr>
                <w:b/>
                <w:bCs/>
                <w:color w:val="12312B"/>
                <w:sz w:val="19"/>
                <w:szCs w:val="19"/>
              </w:rPr>
              <w:t>Eligible</w:t>
            </w:r>
          </w:p>
        </w:tc>
        <w:tc>
          <w:tcPr>
            <w:tcW w:w="7480" w:type="dxa"/>
            <w:tcMar>
              <w:top w:w="90" w:type="dxa"/>
              <w:left w:w="130" w:type="dxa"/>
              <w:bottom w:w="90" w:type="dxa"/>
              <w:right w:w="130" w:type="dxa"/>
            </w:tcMar>
          </w:tcPr>
          <w:p w:rsidR="00BE55D6" w:rsidRDefault="006C7415">
            <w:pPr>
              <w:spacing w:line="264" w:lineRule="auto"/>
            </w:pPr>
            <w:r>
              <w:rPr>
                <w:sz w:val="19"/>
                <w:szCs w:val="19"/>
              </w:rPr>
              <w:t>Graduate and professional students and recent graduates (within two years of degree completion)</w:t>
            </w:r>
          </w:p>
        </w:tc>
      </w:tr>
    </w:tbl>
    <w:p w:rsidR="00BE55D6" w:rsidRDefault="006C7415">
      <w:pPr>
        <w:pStyle w:val="Heading2"/>
        <w:spacing w:before="260" w:after="120"/>
      </w:pPr>
      <w:r>
        <w:rPr>
          <w:b/>
          <w:bCs/>
          <w:color w:val="12312B"/>
          <w:sz w:val="24"/>
          <w:szCs w:val="24"/>
        </w:rPr>
        <w:t>Position Summary</w:t>
      </w:r>
    </w:p>
    <w:p w:rsidR="00BE55D6" w:rsidRDefault="006C7415">
      <w:pPr>
        <w:spacing w:after="140" w:line="276" w:lineRule="auto"/>
      </w:pPr>
      <w:r>
        <w:t>Partnership development is a competitive element of the AHEC award and is supported by formal signed agreements. The Program Office holds relationships that are statewide in nature and that no single regional center can hold on the state's behalf, including those with state agencies, the state office of rural health, primary care associations, workforce development entities, hospital and community health center networks, and academic institutions. The Community Engagement Impact Intern supports the work of convening, documenting, and sustaining that network.</w:t>
      </w:r>
    </w:p>
    <w:p w:rsidR="00BE55D6" w:rsidRDefault="006C7415">
      <w:pPr>
        <w:spacing w:after="140" w:line="276" w:lineRule="auto"/>
      </w:pPr>
      <w:r>
        <w:lastRenderedPageBreak/>
        <w:t>Convening is where the Program Office earns its standing as a strategic partner rather than an administrator, and the practical substance of it is detailed work: agendas prepared, materials circulated in advance, notes taken accurately, action items tracked to closure, agreements audited before they lapse. The intern will see how a partnership register is maintained, why an expired memorandum of understanding is a problem discovered in November rather than in March, and how coalition participation translates into clinical placements and training sites.</w:t>
      </w:r>
    </w:p>
    <w:p w:rsidR="00BE55D6" w:rsidRDefault="006C7415">
      <w:pPr>
        <w:spacing w:after="140" w:line="276" w:lineRule="auto"/>
      </w:pPr>
      <w:r>
        <w:t>This placement suits someone interested in coalition building, health policy, or the collaborative practice of public health. It also offers close exposure to how a statewide network actually functions, since the intern will be in the room for advisory board meetings, coalition sessions, and academic partner convenings.</w:t>
      </w:r>
    </w:p>
    <w:p w:rsidR="00BE55D6" w:rsidRDefault="006C7415">
      <w:pPr>
        <w:pStyle w:val="Heading2"/>
        <w:spacing w:before="260" w:after="120"/>
      </w:pPr>
      <w:r>
        <w:rPr>
          <w:b/>
          <w:bCs/>
          <w:color w:val="12312B"/>
          <w:sz w:val="24"/>
          <w:szCs w:val="24"/>
        </w:rPr>
        <w:t>Responsibilities</w:t>
      </w:r>
    </w:p>
    <w:p w:rsidR="00BE55D6" w:rsidRDefault="006C7415">
      <w:pPr>
        <w:pStyle w:val="ListParagraph"/>
        <w:numPr>
          <w:ilvl w:val="0"/>
          <w:numId w:val="2"/>
        </w:numPr>
        <w:spacing w:after="70" w:line="276" w:lineRule="auto"/>
      </w:pPr>
      <w:r>
        <w:t>Support preparation for the quarterly advisory board meeting, the monthly AHEC center coordination meeting, academic partner liaison meetings, and the annual statewide retreat, including agendas, materials, and logistics.</w:t>
      </w:r>
    </w:p>
    <w:p w:rsidR="00BE55D6" w:rsidRDefault="006C7415">
      <w:pPr>
        <w:pStyle w:val="ListParagraph"/>
        <w:numPr>
          <w:ilvl w:val="0"/>
          <w:numId w:val="2"/>
        </w:numPr>
        <w:spacing w:after="70" w:line="276" w:lineRule="auto"/>
      </w:pPr>
      <w:r>
        <w:t>Take and circulate accurate meeting records, and track action items to closure between meetings.</w:t>
      </w:r>
    </w:p>
    <w:p w:rsidR="00BE55D6" w:rsidRDefault="006C7415">
      <w:pPr>
        <w:pStyle w:val="ListParagraph"/>
        <w:numPr>
          <w:ilvl w:val="0"/>
          <w:numId w:val="2"/>
        </w:numPr>
        <w:spacing w:after="70" w:line="276" w:lineRule="auto"/>
      </w:pPr>
      <w:r>
        <w:t>Maintain the partnership register, including signed agreements, memoranda of understanding, letters of agreement, points of contact, and expiration dates.</w:t>
      </w:r>
    </w:p>
    <w:p w:rsidR="00BE55D6" w:rsidRDefault="006C7415">
      <w:pPr>
        <w:pStyle w:val="ListParagraph"/>
        <w:numPr>
          <w:ilvl w:val="0"/>
          <w:numId w:val="2"/>
        </w:numPr>
        <w:spacing w:after="70" w:line="276" w:lineRule="auto"/>
      </w:pPr>
      <w:r>
        <w:t>Support the annual audit of partnership agreements and prepare the renewal list for agreements expiring before the competing continuation submission.</w:t>
      </w:r>
    </w:p>
    <w:p w:rsidR="00BE55D6" w:rsidRDefault="006C7415">
      <w:pPr>
        <w:pStyle w:val="ListParagraph"/>
        <w:numPr>
          <w:ilvl w:val="0"/>
          <w:numId w:val="2"/>
        </w:numPr>
        <w:spacing w:after="70" w:line="276" w:lineRule="auto"/>
      </w:pPr>
      <w:r>
        <w:t>Assist with preparation for participation in the Commission on the Interdisciplinary Primary Care Workforce and the Sector Partnership Initiative.</w:t>
      </w:r>
    </w:p>
    <w:p w:rsidR="00BE55D6" w:rsidRDefault="006C7415">
      <w:pPr>
        <w:pStyle w:val="ListParagraph"/>
        <w:numPr>
          <w:ilvl w:val="0"/>
          <w:numId w:val="2"/>
        </w:numPr>
        <w:spacing w:after="70" w:line="276" w:lineRule="auto"/>
      </w:pPr>
      <w:r>
        <w:t>Support the assembly of letters of support and signed agreements for the competing continuation application.</w:t>
      </w:r>
    </w:p>
    <w:p w:rsidR="00BE55D6" w:rsidRDefault="006C7415">
      <w:pPr>
        <w:pStyle w:val="ListParagraph"/>
        <w:numPr>
          <w:ilvl w:val="0"/>
          <w:numId w:val="2"/>
        </w:numPr>
        <w:spacing w:after="70" w:line="276" w:lineRule="auto"/>
      </w:pPr>
      <w:r>
        <w:t>Assist with documentation of coalition and community activity in a form suitable for federal reporting and for the competing application evidence base.</w:t>
      </w:r>
    </w:p>
    <w:p w:rsidR="00BE55D6" w:rsidRDefault="006C7415">
      <w:pPr>
        <w:pStyle w:val="ListParagraph"/>
        <w:numPr>
          <w:ilvl w:val="0"/>
          <w:numId w:val="2"/>
        </w:numPr>
        <w:spacing w:after="70" w:line="276" w:lineRule="auto"/>
      </w:pPr>
      <w:r>
        <w:t>Support preparation of partner-facing communications, including the newsletter, partner announcements, and materials for National AHEC Awareness Week.</w:t>
      </w:r>
    </w:p>
    <w:p w:rsidR="00BE55D6" w:rsidRDefault="006C7415">
      <w:pPr>
        <w:pStyle w:val="ListParagraph"/>
        <w:numPr>
          <w:ilvl w:val="0"/>
          <w:numId w:val="2"/>
        </w:numPr>
        <w:spacing w:after="70" w:line="276" w:lineRule="auto"/>
      </w:pPr>
      <w:r>
        <w:t>Assist with prospect research and stewardship documentation supporting non-federal sponsorship, working under the routing requirements established with Dartmouth Advancement and the Office of Sponsored Projects.</w:t>
      </w:r>
    </w:p>
    <w:p w:rsidR="00BE55D6" w:rsidRDefault="006C7415">
      <w:pPr>
        <w:pStyle w:val="Heading2"/>
        <w:spacing w:before="260" w:after="120"/>
      </w:pPr>
      <w:r>
        <w:rPr>
          <w:b/>
          <w:bCs/>
          <w:color w:val="12312B"/>
          <w:sz w:val="24"/>
          <w:szCs w:val="24"/>
        </w:rPr>
        <w:t>Representative Deliverables</w:t>
      </w:r>
    </w:p>
    <w:p w:rsidR="00BE55D6" w:rsidRDefault="006C7415">
      <w:pPr>
        <w:spacing w:after="120" w:line="276" w:lineRule="auto"/>
      </w:pPr>
      <w:r>
        <w:t>Each placement produces work the intern can name and describe when applying for positions or fellowships. Deliverables are agreed at the start of the term and reviewed by the supervising position before they enter any program record.</w:t>
      </w:r>
    </w:p>
    <w:p w:rsidR="00BE55D6" w:rsidRDefault="006C7415">
      <w:pPr>
        <w:pStyle w:val="ListParagraph"/>
        <w:numPr>
          <w:ilvl w:val="0"/>
          <w:numId w:val="2"/>
        </w:numPr>
        <w:spacing w:after="70" w:line="276" w:lineRule="auto"/>
      </w:pPr>
      <w:r>
        <w:t>A current and complete partnership register with an accompanying expiration and renewal analysis.</w:t>
      </w:r>
    </w:p>
    <w:p w:rsidR="00BE55D6" w:rsidRDefault="006C7415">
      <w:pPr>
        <w:pStyle w:val="ListParagraph"/>
        <w:numPr>
          <w:ilvl w:val="0"/>
          <w:numId w:val="2"/>
        </w:numPr>
        <w:spacing w:after="70" w:line="276" w:lineRule="auto"/>
      </w:pPr>
      <w:r>
        <w:t>A set of meeting records and action item trackers for the placement term.</w:t>
      </w:r>
    </w:p>
    <w:p w:rsidR="00BE55D6" w:rsidRDefault="006C7415">
      <w:pPr>
        <w:pStyle w:val="ListParagraph"/>
        <w:numPr>
          <w:ilvl w:val="0"/>
          <w:numId w:val="2"/>
        </w:numPr>
        <w:spacing w:after="70" w:line="276" w:lineRule="auto"/>
      </w:pPr>
      <w:r>
        <w:t>A partner-facing communication piece or convening package.</w:t>
      </w:r>
    </w:p>
    <w:p w:rsidR="00BE55D6" w:rsidRDefault="006C7415">
      <w:pPr>
        <w:pStyle w:val="ListParagraph"/>
        <w:numPr>
          <w:ilvl w:val="0"/>
          <w:numId w:val="2"/>
        </w:numPr>
        <w:spacing w:after="70" w:line="276" w:lineRule="auto"/>
      </w:pPr>
      <w:r>
        <w:t>A documented contribution to the competing continuation evidence base.</w:t>
      </w:r>
    </w:p>
    <w:p w:rsidR="00BE55D6" w:rsidRDefault="006C7415">
      <w:pPr>
        <w:pStyle w:val="Heading2"/>
        <w:spacing w:before="260" w:after="120"/>
      </w:pPr>
      <w:r>
        <w:rPr>
          <w:b/>
          <w:bCs/>
          <w:color w:val="12312B"/>
          <w:sz w:val="24"/>
          <w:szCs w:val="24"/>
        </w:rPr>
        <w:t>Learning Objectives</w:t>
      </w:r>
    </w:p>
    <w:p w:rsidR="00BE55D6" w:rsidRDefault="006C7415">
      <w:pPr>
        <w:spacing w:after="120" w:line="276" w:lineRule="auto"/>
      </w:pPr>
      <w:r>
        <w:t>By the conclusion of the placement, the intern will be able to:</w:t>
      </w:r>
    </w:p>
    <w:p w:rsidR="00BE55D6" w:rsidRDefault="006C7415">
      <w:pPr>
        <w:pStyle w:val="ListParagraph"/>
        <w:numPr>
          <w:ilvl w:val="0"/>
          <w:numId w:val="2"/>
        </w:numPr>
        <w:spacing w:after="70" w:line="276" w:lineRule="auto"/>
      </w:pPr>
      <w:r>
        <w:t>Describe how a statewide health workforce network is convened and sustained, and identify what distinguishes a partnership from a contact list.</w:t>
      </w:r>
    </w:p>
    <w:p w:rsidR="00BE55D6" w:rsidRDefault="006C7415">
      <w:pPr>
        <w:pStyle w:val="ListParagraph"/>
        <w:numPr>
          <w:ilvl w:val="0"/>
          <w:numId w:val="2"/>
        </w:numPr>
        <w:spacing w:after="70" w:line="276" w:lineRule="auto"/>
      </w:pPr>
      <w:r>
        <w:t>Prepare and document a formal meeting to a standard suitable for federal reporting and audit.</w:t>
      </w:r>
    </w:p>
    <w:p w:rsidR="00BE55D6" w:rsidRDefault="006C7415">
      <w:pPr>
        <w:pStyle w:val="ListParagraph"/>
        <w:numPr>
          <w:ilvl w:val="0"/>
          <w:numId w:val="2"/>
        </w:numPr>
        <w:spacing w:after="70" w:line="276" w:lineRule="auto"/>
      </w:pPr>
      <w:r>
        <w:lastRenderedPageBreak/>
        <w:t>Maintain agreement documentation and explain why lead time on renewals determines whether a partnership survives a funding cycle.</w:t>
      </w:r>
    </w:p>
    <w:p w:rsidR="00BE55D6" w:rsidRDefault="006C7415">
      <w:pPr>
        <w:pStyle w:val="ListParagraph"/>
        <w:numPr>
          <w:ilvl w:val="0"/>
          <w:numId w:val="2"/>
        </w:numPr>
        <w:spacing w:after="70" w:line="276" w:lineRule="auto"/>
      </w:pPr>
      <w:r>
        <w:t>Identify stakeholders across sectors and describe the interest each brings to a collaborative effort.</w:t>
      </w:r>
    </w:p>
    <w:p w:rsidR="00BE55D6" w:rsidRDefault="006C7415">
      <w:pPr>
        <w:pStyle w:val="ListParagraph"/>
        <w:numPr>
          <w:ilvl w:val="0"/>
          <w:numId w:val="2"/>
        </w:numPr>
        <w:spacing w:after="70" w:line="276" w:lineRule="auto"/>
      </w:pPr>
      <w:r>
        <w:t>Explain how coalition participation translates into concrete program capacity, including training sites, placements, and shared workforce planning.</w:t>
      </w:r>
    </w:p>
    <w:p w:rsidR="00BE55D6" w:rsidRDefault="006C7415">
      <w:pPr>
        <w:pStyle w:val="Heading3"/>
        <w:spacing w:before="200" w:after="90"/>
      </w:pPr>
      <w:r>
        <w:rPr>
          <w:b/>
          <w:bCs/>
          <w:color w:val="00693E"/>
          <w:sz w:val="21"/>
          <w:szCs w:val="21"/>
        </w:rPr>
        <w:t>Competency alignment</w:t>
      </w:r>
    </w:p>
    <w:p w:rsidR="00BE55D6" w:rsidRDefault="006C7415">
      <w:pPr>
        <w:spacing w:after="140" w:line="276" w:lineRule="auto"/>
      </w:pPr>
      <w:r>
        <w:t>This placement aligns with the CEPH foundational competencies addressing strategies for identifying stakeholders and building coalitions, effective performance on interprofessional teams, facilitation of community partner engagement, and communication of audience-appropriate content. It is well suited to an Applied Practice Experience. Final competency mapping is confirmed with the intern's academic program before the term begins.</w:t>
      </w:r>
    </w:p>
    <w:p w:rsidR="00BE55D6" w:rsidRDefault="006C7415">
      <w:pPr>
        <w:pStyle w:val="Heading2"/>
        <w:spacing w:before="260" w:after="120"/>
      </w:pPr>
      <w:r>
        <w:rPr>
          <w:b/>
          <w:bCs/>
          <w:color w:val="12312B"/>
          <w:sz w:val="24"/>
          <w:szCs w:val="24"/>
        </w:rPr>
        <w:t>Qualifications</w:t>
      </w:r>
    </w:p>
    <w:p w:rsidR="00BE55D6" w:rsidRDefault="006C7415">
      <w:pPr>
        <w:pStyle w:val="Heading3"/>
        <w:spacing w:before="200" w:after="90"/>
      </w:pPr>
      <w:r>
        <w:rPr>
          <w:b/>
          <w:bCs/>
          <w:color w:val="00693E"/>
          <w:sz w:val="21"/>
          <w:szCs w:val="21"/>
        </w:rPr>
        <w:t>Required</w:t>
      </w:r>
    </w:p>
    <w:p w:rsidR="00BE55D6" w:rsidRDefault="006C7415">
      <w:pPr>
        <w:pStyle w:val="ListParagraph"/>
        <w:numPr>
          <w:ilvl w:val="0"/>
          <w:numId w:val="2"/>
        </w:numPr>
        <w:spacing w:after="70" w:line="276" w:lineRule="auto"/>
      </w:pPr>
      <w:r>
        <w:t>Current enrollment in a graduate or professional degree program, or completion of such a degree within the past two years.</w:t>
      </w:r>
    </w:p>
    <w:p w:rsidR="00BE55D6" w:rsidRDefault="006C7415">
      <w:pPr>
        <w:pStyle w:val="ListParagraph"/>
        <w:numPr>
          <w:ilvl w:val="0"/>
          <w:numId w:val="2"/>
        </w:numPr>
        <w:spacing w:after="70" w:line="276" w:lineRule="auto"/>
      </w:pPr>
      <w:r>
        <w:t>Excellent written communication, particularly the ability to take accurate notes and produce a usable record from a complex discussion.</w:t>
      </w:r>
    </w:p>
    <w:p w:rsidR="00BE55D6" w:rsidRDefault="006C7415">
      <w:pPr>
        <w:pStyle w:val="ListParagraph"/>
        <w:numPr>
          <w:ilvl w:val="0"/>
          <w:numId w:val="2"/>
        </w:numPr>
        <w:spacing w:after="70" w:line="276" w:lineRule="auto"/>
      </w:pPr>
      <w:r>
        <w:t>Professional presence appropriate to meetings with state agency staff, health system leaders, faculty, and community organizations.</w:t>
      </w:r>
    </w:p>
    <w:p w:rsidR="00BE55D6" w:rsidRDefault="006C7415">
      <w:pPr>
        <w:pStyle w:val="ListParagraph"/>
        <w:numPr>
          <w:ilvl w:val="0"/>
          <w:numId w:val="2"/>
        </w:numPr>
        <w:spacing w:after="70" w:line="276" w:lineRule="auto"/>
      </w:pPr>
      <w:r>
        <w:t>Organizational discipline sufficient to maintain a register that others will rely on.</w:t>
      </w:r>
    </w:p>
    <w:p w:rsidR="00BE55D6" w:rsidRDefault="006C7415">
      <w:pPr>
        <w:pStyle w:val="ListParagraph"/>
        <w:numPr>
          <w:ilvl w:val="0"/>
          <w:numId w:val="2"/>
        </w:numPr>
        <w:spacing w:after="70" w:line="276" w:lineRule="auto"/>
      </w:pPr>
      <w:r>
        <w:t>Discretion with information shared in a partner or advisory setting.</w:t>
      </w:r>
    </w:p>
    <w:p w:rsidR="00BE55D6" w:rsidRDefault="006C7415">
      <w:pPr>
        <w:pStyle w:val="Heading3"/>
        <w:spacing w:before="200" w:after="90"/>
      </w:pPr>
      <w:r>
        <w:rPr>
          <w:b/>
          <w:bCs/>
          <w:color w:val="00693E"/>
          <w:sz w:val="21"/>
          <w:szCs w:val="21"/>
        </w:rPr>
        <w:t>Preferred</w:t>
      </w:r>
    </w:p>
    <w:p w:rsidR="00BE55D6" w:rsidRDefault="006C7415">
      <w:pPr>
        <w:pStyle w:val="ListParagraph"/>
        <w:numPr>
          <w:ilvl w:val="0"/>
          <w:numId w:val="2"/>
        </w:numPr>
        <w:spacing w:after="70" w:line="276" w:lineRule="auto"/>
      </w:pPr>
      <w:r>
        <w:t>Experience with coalition work, stakeholder engagement, community organizing, or advocacy.</w:t>
      </w:r>
    </w:p>
    <w:p w:rsidR="00BE55D6" w:rsidRDefault="006C7415">
      <w:pPr>
        <w:pStyle w:val="ListParagraph"/>
        <w:numPr>
          <w:ilvl w:val="0"/>
          <w:numId w:val="2"/>
        </w:numPr>
        <w:spacing w:after="70" w:line="276" w:lineRule="auto"/>
      </w:pPr>
      <w:r>
        <w:t>Interest in health policy or health systems.</w:t>
      </w:r>
    </w:p>
    <w:p w:rsidR="00BE55D6" w:rsidRDefault="006C7415">
      <w:pPr>
        <w:pStyle w:val="ListParagraph"/>
        <w:numPr>
          <w:ilvl w:val="0"/>
          <w:numId w:val="2"/>
        </w:numPr>
        <w:spacing w:after="70" w:line="276" w:lineRule="auto"/>
      </w:pPr>
      <w:r>
        <w:t>Familiarity with New Hampshire's health and human services landscape.</w:t>
      </w:r>
    </w:p>
    <w:p w:rsidR="00BE55D6" w:rsidRDefault="006C7415">
      <w:pPr>
        <w:pStyle w:val="ListParagraph"/>
        <w:numPr>
          <w:ilvl w:val="0"/>
          <w:numId w:val="2"/>
        </w:numPr>
        <w:spacing w:after="70" w:line="276" w:lineRule="auto"/>
      </w:pPr>
      <w:r>
        <w:t>Experience with a customer relationship management system, partnership database, or comparable tracking platform.</w:t>
      </w:r>
    </w:p>
    <w:p w:rsidR="00BE55D6" w:rsidRDefault="006C7415">
      <w:r>
        <w:br w:type="page"/>
      </w:r>
    </w:p>
    <w:p w:rsidR="00BE55D6" w:rsidRDefault="006C7415">
      <w:pPr>
        <w:pStyle w:val="Heading1"/>
        <w:pBdr>
          <w:bottom w:val="single" w:sz="10" w:space="6" w:color="00693E"/>
        </w:pBdr>
        <w:spacing w:before="320" w:after="180"/>
      </w:pPr>
      <w:r>
        <w:rPr>
          <w:b/>
          <w:bCs/>
          <w:color w:val="00693E"/>
          <w:sz w:val="30"/>
          <w:szCs w:val="30"/>
        </w:rPr>
        <w:lastRenderedPageBreak/>
        <w:t>About the Placements</w:t>
      </w:r>
    </w:p>
    <w:p w:rsidR="00BE55D6" w:rsidRDefault="006C7415">
      <w:pPr>
        <w:spacing w:after="140" w:line="276" w:lineRule="auto"/>
      </w:pPr>
      <w:r>
        <w:t>The New Hampshire AHEC Program Office at the Geisel School of Medicine holds the statewide cooperative agreement through which New Hampshire strengthens the supply, distribution, diversity, and quality of the health and public health workforce serving rural and underserved communities. The Program Office contracts with Northern NH AHEC and Southern NH AHEC to deliver community-based training within their regions, and it carries the statewide functions the award assigns to the recipient: evaluation, subrecipient monitoring, partnership development, the AHEC Scholars curriculum, and the youth pipeline.</w:t>
      </w:r>
    </w:p>
    <w:p w:rsidR="00BE55D6" w:rsidRDefault="006C7415">
      <w:pPr>
        <w:spacing w:after="140" w:line="276" w:lineRule="auto"/>
      </w:pPr>
      <w:r>
        <w:t>The Program Office maintains eight supervised Impact Intern placements, each with a defined portfolio and a named supervising position. The placements exist for two reasons that reinforce one another. The AHEC model develops the health and public health workforce through community-based experiential training, and a program office that provides structured, supervised placements in evaluation, community engagement, pipeline programming, and scholars administration is applying that model to its own operation. Interns gain documented experience in the field they intend to enter, and the program gains a recruitment pathway into the workforce it is funded to strengthen.</w:t>
      </w:r>
    </w:p>
    <w:p w:rsidR="00BE55D6" w:rsidRDefault="006C7415">
      <w:pPr>
        <w:spacing w:after="140" w:line="276" w:lineRule="auto"/>
      </w:pPr>
      <w:r>
        <w:t>These are learning placements rather than staffing solutions, and the number accepted in any term is set by the supervision the responsible position can genuinely provide rather than by the number of students seeking placement. Several placements align with the Applied Practice Experience requirements of graduate public health education, which allows the work to count toward degree completion.</w:t>
      </w:r>
    </w:p>
    <w:p w:rsidR="00BE55D6" w:rsidRDefault="006C7415">
      <w:pPr>
        <w:pStyle w:val="Heading2"/>
        <w:spacing w:before="260" w:after="120"/>
      </w:pPr>
      <w:r>
        <w:rPr>
          <w:b/>
          <w:bCs/>
          <w:color w:val="12312B"/>
          <w:sz w:val="24"/>
          <w:szCs w:val="24"/>
        </w:rPr>
        <w:t>Who These Placements Are For</w:t>
      </w:r>
    </w:p>
    <w:p w:rsidR="00BE55D6" w:rsidRDefault="006C7415">
      <w:pPr>
        <w:spacing w:after="140" w:line="276" w:lineRule="auto"/>
      </w:pPr>
      <w:r>
        <w:t>Seven of the eight positions are designed for graduate and professional students and for recent graduates within two years of degree completion. The Marketing and Communications placement is also open to undergraduate students, since its work draws on communication and design skills many undergraduates already bring. Applicants come from public health, medicine, nursing, physician assistant studies, health policy, education, social work, data science, communications, and related fields. Enrollment at Dartmouth is not required, and applicants from Franklin Pierce University, the University of New Hampshire, and other institutions are welcome.</w:t>
      </w:r>
    </w:p>
    <w:p w:rsidR="00BE55D6" w:rsidRDefault="006C7415">
      <w:pPr>
        <w:spacing w:after="140" w:line="276" w:lineRule="auto"/>
      </w:pPr>
      <w:r>
        <w:t>Recent graduates are eligible on the same terms as enrolled students. For a graduate entering a competitive application cycle for medical school, physician assistant programs, doctoral study, or a fellowship, a placement offers a defined portfolio, a named supervisor who can speak specifically to the work, and a deliverable that can be described concretely rather than in generalities.</w:t>
      </w:r>
    </w:p>
    <w:p w:rsidR="00BE55D6" w:rsidRDefault="006C7415">
      <w:pPr>
        <w:pStyle w:val="Heading2"/>
        <w:spacing w:before="260" w:after="120"/>
      </w:pPr>
      <w:r>
        <w:rPr>
          <w:b/>
          <w:bCs/>
          <w:color w:val="12312B"/>
          <w:sz w:val="24"/>
          <w:szCs w:val="24"/>
        </w:rPr>
        <w:t>Common Terms</w:t>
      </w:r>
    </w:p>
    <w:tbl>
      <w:tblPr>
        <w:tblW w:w="10080" w:type="dxa"/>
        <w:tblBorders>
          <w:top w:val="single" w:sz="4" w:space="0" w:color="C9D6CE"/>
          <w:left w:val="none" w:sz="0" w:space="0" w:color="FFFFFF"/>
          <w:bottom w:val="single" w:sz="4" w:space="0" w:color="C9D6CE"/>
          <w:right w:val="none" w:sz="0" w:space="0" w:color="FFFFFF"/>
          <w:insideH w:val="single" w:sz="4" w:space="0" w:color="DCE5DF"/>
          <w:insideV w:val="none" w:sz="0" w:space="0" w:color="FFFFFF"/>
        </w:tblBorders>
        <w:tblCellMar>
          <w:left w:w="10" w:type="dxa"/>
          <w:right w:w="10" w:type="dxa"/>
        </w:tblCellMar>
        <w:tblLook w:val="0000" w:firstRow="0" w:lastRow="0" w:firstColumn="0" w:lastColumn="0" w:noHBand="0" w:noVBand="0"/>
      </w:tblPr>
      <w:tblGrid>
        <w:gridCol w:w="2900"/>
        <w:gridCol w:w="7180"/>
      </w:tblGrid>
      <w:tr w:rsidR="00BE55D6">
        <w:trPr>
          <w:tblHeader/>
        </w:trPr>
        <w:tc>
          <w:tcPr>
            <w:tcW w:w="290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Term</w:t>
            </w:r>
          </w:p>
        </w:tc>
        <w:tc>
          <w:tcPr>
            <w:tcW w:w="718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Provision</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Compensation</w:t>
            </w:r>
          </w:p>
        </w:tc>
        <w:tc>
          <w:tcPr>
            <w:tcW w:w="7180" w:type="dxa"/>
            <w:tcMar>
              <w:top w:w="90" w:type="dxa"/>
              <w:left w:w="130" w:type="dxa"/>
              <w:bottom w:w="90" w:type="dxa"/>
              <w:right w:w="130" w:type="dxa"/>
            </w:tcMar>
          </w:tcPr>
          <w:p w:rsidR="00BE55D6" w:rsidRDefault="006C7415">
            <w:pPr>
              <w:spacing w:line="264" w:lineRule="auto"/>
            </w:pPr>
            <w:r>
              <w:rPr>
                <w:sz w:val="19"/>
                <w:szCs w:val="19"/>
              </w:rPr>
              <w:t>Placements are uncompensated and are structured as experiential learning rather than as employment. No salary or stipend is charged to the federal award for these positions.</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Term of service</w:t>
            </w:r>
          </w:p>
        </w:tc>
        <w:tc>
          <w:tcPr>
            <w:tcW w:w="7180" w:type="dxa"/>
            <w:tcMar>
              <w:top w:w="90" w:type="dxa"/>
              <w:left w:w="130" w:type="dxa"/>
              <w:bottom w:w="90" w:type="dxa"/>
              <w:right w:w="130" w:type="dxa"/>
            </w:tcMar>
          </w:tcPr>
          <w:p w:rsidR="00BE55D6" w:rsidRDefault="006C7415">
            <w:pPr>
              <w:spacing w:line="264" w:lineRule="auto"/>
            </w:pPr>
            <w:r>
              <w:rPr>
                <w:sz w:val="19"/>
                <w:szCs w:val="19"/>
              </w:rPr>
              <w:t>Nine, twelve, or eighteen months. The term is selected at the outset, and the start and end dates are fixed in the placement agreement.</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Effort</w:t>
            </w:r>
          </w:p>
        </w:tc>
        <w:tc>
          <w:tcPr>
            <w:tcW w:w="7180" w:type="dxa"/>
            <w:tcMar>
              <w:top w:w="90" w:type="dxa"/>
              <w:left w:w="130" w:type="dxa"/>
              <w:bottom w:w="90" w:type="dxa"/>
              <w:right w:w="130" w:type="dxa"/>
            </w:tcMar>
          </w:tcPr>
          <w:p w:rsidR="00BE55D6" w:rsidRDefault="006C7415">
            <w:pPr>
              <w:spacing w:line="264" w:lineRule="auto"/>
            </w:pPr>
            <w:r>
              <w:rPr>
                <w:sz w:val="19"/>
                <w:szCs w:val="19"/>
              </w:rPr>
              <w:t>Eight to ten hours per week across the full term, scheduled around the intern's academic obligations. Effort during peak program weeks is agreed in advance rather than assumed.</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Supervision</w:t>
            </w:r>
          </w:p>
        </w:tc>
        <w:tc>
          <w:tcPr>
            <w:tcW w:w="7180" w:type="dxa"/>
            <w:tcMar>
              <w:top w:w="90" w:type="dxa"/>
              <w:left w:w="130" w:type="dxa"/>
              <w:bottom w:w="90" w:type="dxa"/>
              <w:right w:w="130" w:type="dxa"/>
            </w:tcMar>
          </w:tcPr>
          <w:p w:rsidR="00BE55D6" w:rsidRDefault="006C7415">
            <w:pPr>
              <w:spacing w:line="264" w:lineRule="auto"/>
            </w:pPr>
            <w:r>
              <w:rPr>
                <w:sz w:val="19"/>
                <w:szCs w:val="19"/>
              </w:rPr>
              <w:t>A scheduled one-to-one meeting each week with the supervising position, plus participation in the weekly Program Office staff meeting.</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lastRenderedPageBreak/>
              <w:t>Learning agreement</w:t>
            </w:r>
          </w:p>
        </w:tc>
        <w:tc>
          <w:tcPr>
            <w:tcW w:w="7180" w:type="dxa"/>
            <w:tcMar>
              <w:top w:w="90" w:type="dxa"/>
              <w:left w:w="130" w:type="dxa"/>
              <w:bottom w:w="90" w:type="dxa"/>
              <w:right w:w="130" w:type="dxa"/>
            </w:tcMar>
          </w:tcPr>
          <w:p w:rsidR="00BE55D6" w:rsidRDefault="006C7415">
            <w:pPr>
              <w:spacing w:line="264" w:lineRule="auto"/>
            </w:pPr>
            <w:r>
              <w:rPr>
                <w:sz w:val="19"/>
                <w:szCs w:val="19"/>
              </w:rPr>
              <w:t>A written agreement at the outset states the portfolio, the learning objectives, the deliverables, the term, and the supervision schedule. It is signed by the intern and the supervising position.</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Academic credit</w:t>
            </w:r>
          </w:p>
        </w:tc>
        <w:tc>
          <w:tcPr>
            <w:tcW w:w="7180" w:type="dxa"/>
            <w:tcMar>
              <w:top w:w="90" w:type="dxa"/>
              <w:left w:w="130" w:type="dxa"/>
              <w:bottom w:w="90" w:type="dxa"/>
              <w:right w:w="130" w:type="dxa"/>
            </w:tcMar>
          </w:tcPr>
          <w:p w:rsidR="00BE55D6" w:rsidRDefault="006C7415">
            <w:pPr>
              <w:spacing w:line="264" w:lineRule="auto"/>
            </w:pPr>
            <w:r>
              <w:rPr>
                <w:sz w:val="19"/>
                <w:szCs w:val="19"/>
              </w:rPr>
              <w:t>Placements may be structured to satisfy an Integrated Learning Experience, Applied Practice Experience, a practicum, an independent study, or a capstone. Academic requirements are confirmed with the intern's program before the term begins.</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Assessment</w:t>
            </w:r>
          </w:p>
        </w:tc>
        <w:tc>
          <w:tcPr>
            <w:tcW w:w="7180" w:type="dxa"/>
            <w:tcMar>
              <w:top w:w="90" w:type="dxa"/>
              <w:left w:w="130" w:type="dxa"/>
              <w:bottom w:w="90" w:type="dxa"/>
              <w:right w:w="130" w:type="dxa"/>
            </w:tcMar>
          </w:tcPr>
          <w:p w:rsidR="00BE55D6" w:rsidRDefault="006C7415">
            <w:pPr>
              <w:spacing w:line="264" w:lineRule="auto"/>
            </w:pPr>
            <w:r>
              <w:rPr>
                <w:sz w:val="19"/>
                <w:szCs w:val="19"/>
              </w:rPr>
              <w:t>A mid-term check-in and an end-of-term review, each documented. Interns receive written feedback and may request a letter of reference from the supervising position.</w:t>
            </w:r>
          </w:p>
        </w:tc>
      </w:tr>
      <w:tr w:rsidR="00BE55D6">
        <w:tc>
          <w:tcPr>
            <w:tcW w:w="2900" w:type="dxa"/>
            <w:tcMar>
              <w:top w:w="90" w:type="dxa"/>
              <w:left w:w="130" w:type="dxa"/>
              <w:bottom w:w="90" w:type="dxa"/>
              <w:right w:w="130" w:type="dxa"/>
            </w:tcMar>
          </w:tcPr>
          <w:p w:rsidR="00BE55D6" w:rsidRDefault="006C7415">
            <w:pPr>
              <w:spacing w:line="264" w:lineRule="auto"/>
            </w:pPr>
            <w:r>
              <w:rPr>
                <w:sz w:val="19"/>
                <w:szCs w:val="19"/>
              </w:rPr>
              <w:t>Systems and materials</w:t>
            </w:r>
          </w:p>
        </w:tc>
        <w:tc>
          <w:tcPr>
            <w:tcW w:w="7180" w:type="dxa"/>
            <w:tcMar>
              <w:top w:w="90" w:type="dxa"/>
              <w:left w:w="130" w:type="dxa"/>
              <w:bottom w:w="90" w:type="dxa"/>
              <w:right w:w="130" w:type="dxa"/>
            </w:tcMar>
          </w:tcPr>
          <w:p w:rsidR="00BE55D6" w:rsidRDefault="006C7415">
            <w:pPr>
              <w:spacing w:line="264" w:lineRule="auto"/>
            </w:pPr>
            <w:r>
              <w:rPr>
                <w:sz w:val="19"/>
                <w:szCs w:val="19"/>
              </w:rPr>
              <w:t>Interns receive the same access to systems, software, and program materials as professional staff, consistent with the technology and program operations domain of the budget.</w:t>
            </w:r>
          </w:p>
        </w:tc>
      </w:tr>
    </w:tbl>
    <w:p w:rsidR="00BE55D6" w:rsidRDefault="006C7415">
      <w:pPr>
        <w:pStyle w:val="Heading2"/>
        <w:spacing w:before="260" w:after="120"/>
      </w:pPr>
      <w:r>
        <w:rPr>
          <w:b/>
          <w:bCs/>
          <w:color w:val="12312B"/>
          <w:sz w:val="24"/>
          <w:szCs w:val="24"/>
        </w:rPr>
        <w:t>Term of Service</w:t>
      </w:r>
    </w:p>
    <w:p w:rsidR="00BE55D6" w:rsidRDefault="006C7415">
      <w:pPr>
        <w:spacing w:after="140" w:line="276" w:lineRule="auto"/>
      </w:pPr>
      <w:r>
        <w:t>Every Impact Intern serves a term of nine, twelve, or eighteen months. The three options reflect the different timelines of the eight portfolios. Some align with the academic year, while others follow the grant cycle or benefit from participation across two program cycles. The term is selected before the placement begins and is stated in the learning agreement, so that both the intern and the supervising position are planning against the same schedule.</w:t>
      </w:r>
    </w:p>
    <w:tbl>
      <w:tblPr>
        <w:tblW w:w="10080" w:type="dxa"/>
        <w:tblBorders>
          <w:top w:val="single" w:sz="4" w:space="0" w:color="C9D6CE"/>
          <w:left w:val="none" w:sz="0" w:space="0" w:color="FFFFFF"/>
          <w:bottom w:val="single" w:sz="4" w:space="0" w:color="C9D6CE"/>
          <w:right w:val="none" w:sz="0" w:space="0" w:color="FFFFFF"/>
          <w:insideH w:val="single" w:sz="4" w:space="0" w:color="DCE5DF"/>
          <w:insideV w:val="none" w:sz="0" w:space="0" w:color="FFFFFF"/>
        </w:tblBorders>
        <w:tblCellMar>
          <w:left w:w="10" w:type="dxa"/>
          <w:right w:w="10" w:type="dxa"/>
        </w:tblCellMar>
        <w:tblLook w:val="0000" w:firstRow="0" w:lastRow="0" w:firstColumn="0" w:lastColumn="0" w:noHBand="0" w:noVBand="0"/>
      </w:tblPr>
      <w:tblGrid>
        <w:gridCol w:w="1800"/>
        <w:gridCol w:w="2500"/>
        <w:gridCol w:w="5780"/>
      </w:tblGrid>
      <w:tr w:rsidR="00BE55D6">
        <w:trPr>
          <w:tblHeader/>
        </w:trPr>
        <w:tc>
          <w:tcPr>
            <w:tcW w:w="180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Term</w:t>
            </w:r>
          </w:p>
        </w:tc>
        <w:tc>
          <w:tcPr>
            <w:tcW w:w="250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Typical Window</w:t>
            </w:r>
          </w:p>
        </w:tc>
        <w:tc>
          <w:tcPr>
            <w:tcW w:w="5780" w:type="dxa"/>
            <w:shd w:val="clear" w:color="auto" w:fill="00693E"/>
            <w:tcMar>
              <w:top w:w="90" w:type="dxa"/>
              <w:left w:w="130" w:type="dxa"/>
              <w:bottom w:w="90" w:type="dxa"/>
              <w:right w:w="130" w:type="dxa"/>
            </w:tcMar>
          </w:tcPr>
          <w:p w:rsidR="00BE55D6" w:rsidRDefault="006C7415">
            <w:pPr>
              <w:spacing w:line="264" w:lineRule="auto"/>
            </w:pPr>
            <w:r>
              <w:rPr>
                <w:b/>
                <w:bCs/>
                <w:color w:val="FFFFFF"/>
                <w:sz w:val="19"/>
                <w:szCs w:val="19"/>
              </w:rPr>
              <w:t>What the Term Makes Possible</w:t>
            </w:r>
          </w:p>
        </w:tc>
      </w:tr>
      <w:tr w:rsidR="00BE55D6">
        <w:tc>
          <w:tcPr>
            <w:tcW w:w="1800" w:type="dxa"/>
            <w:tcMar>
              <w:top w:w="90" w:type="dxa"/>
              <w:left w:w="130" w:type="dxa"/>
              <w:bottom w:w="90" w:type="dxa"/>
              <w:right w:w="130" w:type="dxa"/>
            </w:tcMar>
          </w:tcPr>
          <w:p w:rsidR="00BE55D6" w:rsidRDefault="006C7415">
            <w:pPr>
              <w:spacing w:line="264" w:lineRule="auto"/>
            </w:pPr>
            <w:r>
              <w:rPr>
                <w:sz w:val="19"/>
                <w:szCs w:val="19"/>
              </w:rPr>
              <w:t>9 months</w:t>
            </w:r>
          </w:p>
        </w:tc>
        <w:tc>
          <w:tcPr>
            <w:tcW w:w="2500" w:type="dxa"/>
            <w:tcMar>
              <w:top w:w="90" w:type="dxa"/>
              <w:left w:w="130" w:type="dxa"/>
              <w:bottom w:w="90" w:type="dxa"/>
              <w:right w:w="130" w:type="dxa"/>
            </w:tcMar>
          </w:tcPr>
          <w:p w:rsidR="00BE55D6" w:rsidRDefault="006C7415">
            <w:pPr>
              <w:spacing w:line="264" w:lineRule="auto"/>
            </w:pPr>
            <w:r>
              <w:rPr>
                <w:sz w:val="19"/>
                <w:szCs w:val="19"/>
              </w:rPr>
              <w:t>September through May</w:t>
            </w:r>
          </w:p>
        </w:tc>
        <w:tc>
          <w:tcPr>
            <w:tcW w:w="5780" w:type="dxa"/>
            <w:tcMar>
              <w:top w:w="90" w:type="dxa"/>
              <w:left w:w="130" w:type="dxa"/>
              <w:bottom w:w="90" w:type="dxa"/>
              <w:right w:w="130" w:type="dxa"/>
            </w:tcMar>
          </w:tcPr>
          <w:p w:rsidR="00BE55D6" w:rsidRDefault="006C7415">
            <w:pPr>
              <w:spacing w:line="264" w:lineRule="auto"/>
            </w:pPr>
            <w:r>
              <w:rPr>
                <w:sz w:val="19"/>
                <w:szCs w:val="19"/>
              </w:rPr>
              <w:t>Aligns with the academic year and suits an intern whose availability ends at graduation or at the start of a summer commitment. Covers a full recruitment, selection, and delivery arc for most portfolios, though it stops short of the summer term and the August reporting close.</w:t>
            </w:r>
          </w:p>
        </w:tc>
      </w:tr>
      <w:tr w:rsidR="00BE55D6">
        <w:tc>
          <w:tcPr>
            <w:tcW w:w="1800" w:type="dxa"/>
            <w:tcMar>
              <w:top w:w="90" w:type="dxa"/>
              <w:left w:w="130" w:type="dxa"/>
              <w:bottom w:w="90" w:type="dxa"/>
              <w:right w:w="130" w:type="dxa"/>
            </w:tcMar>
          </w:tcPr>
          <w:p w:rsidR="00BE55D6" w:rsidRDefault="006C7415">
            <w:pPr>
              <w:spacing w:line="264" w:lineRule="auto"/>
            </w:pPr>
            <w:r>
              <w:rPr>
                <w:sz w:val="19"/>
                <w:szCs w:val="19"/>
              </w:rPr>
              <w:t>12 months</w:t>
            </w:r>
          </w:p>
        </w:tc>
        <w:tc>
          <w:tcPr>
            <w:tcW w:w="2500" w:type="dxa"/>
            <w:tcMar>
              <w:top w:w="90" w:type="dxa"/>
              <w:left w:w="130" w:type="dxa"/>
              <w:bottom w:w="90" w:type="dxa"/>
              <w:right w:w="130" w:type="dxa"/>
            </w:tcMar>
          </w:tcPr>
          <w:p w:rsidR="00BE55D6" w:rsidRDefault="006C7415">
            <w:pPr>
              <w:spacing w:line="264" w:lineRule="auto"/>
            </w:pPr>
            <w:r>
              <w:rPr>
                <w:sz w:val="19"/>
                <w:szCs w:val="19"/>
              </w:rPr>
              <w:t>September through August</w:t>
            </w:r>
          </w:p>
        </w:tc>
        <w:tc>
          <w:tcPr>
            <w:tcW w:w="5780" w:type="dxa"/>
            <w:tcMar>
              <w:top w:w="90" w:type="dxa"/>
              <w:left w:w="130" w:type="dxa"/>
              <w:bottom w:w="90" w:type="dxa"/>
              <w:right w:w="130" w:type="dxa"/>
            </w:tcMar>
          </w:tcPr>
          <w:p w:rsidR="00BE55D6" w:rsidRDefault="006C7415">
            <w:pPr>
              <w:spacing w:line="264" w:lineRule="auto"/>
            </w:pPr>
            <w:r>
              <w:rPr>
                <w:sz w:val="19"/>
                <w:szCs w:val="19"/>
              </w:rPr>
              <w:t>Aligns with the grant year and carries the intern through one complete program cycle, including summer delivery, completion determinations, the annual performance report, and the August statewide retreat. This is the standard term and the one most portfolios are built around.</w:t>
            </w:r>
          </w:p>
        </w:tc>
      </w:tr>
      <w:tr w:rsidR="00BE55D6">
        <w:tc>
          <w:tcPr>
            <w:tcW w:w="1800" w:type="dxa"/>
            <w:tcMar>
              <w:top w:w="90" w:type="dxa"/>
              <w:left w:w="130" w:type="dxa"/>
              <w:bottom w:w="90" w:type="dxa"/>
              <w:right w:w="130" w:type="dxa"/>
            </w:tcMar>
          </w:tcPr>
          <w:p w:rsidR="00BE55D6" w:rsidRDefault="006C7415">
            <w:pPr>
              <w:spacing w:line="264" w:lineRule="auto"/>
            </w:pPr>
            <w:r>
              <w:rPr>
                <w:sz w:val="19"/>
                <w:szCs w:val="19"/>
              </w:rPr>
              <w:t>18 months</w:t>
            </w:r>
          </w:p>
        </w:tc>
        <w:tc>
          <w:tcPr>
            <w:tcW w:w="2500" w:type="dxa"/>
            <w:tcMar>
              <w:top w:w="90" w:type="dxa"/>
              <w:left w:w="130" w:type="dxa"/>
              <w:bottom w:w="90" w:type="dxa"/>
              <w:right w:w="130" w:type="dxa"/>
            </w:tcMar>
          </w:tcPr>
          <w:p w:rsidR="00BE55D6" w:rsidRDefault="006C7415">
            <w:pPr>
              <w:spacing w:line="264" w:lineRule="auto"/>
            </w:pPr>
            <w:r>
              <w:rPr>
                <w:sz w:val="19"/>
                <w:szCs w:val="19"/>
              </w:rPr>
              <w:t>September through the following February, or January through the following June</w:t>
            </w:r>
          </w:p>
        </w:tc>
        <w:tc>
          <w:tcPr>
            <w:tcW w:w="5780" w:type="dxa"/>
            <w:tcMar>
              <w:top w:w="90" w:type="dxa"/>
              <w:left w:w="130" w:type="dxa"/>
              <w:bottom w:w="90" w:type="dxa"/>
              <w:right w:w="130" w:type="dxa"/>
            </w:tcMar>
          </w:tcPr>
          <w:p w:rsidR="00BE55D6" w:rsidRDefault="006C7415">
            <w:pPr>
              <w:spacing w:line="264" w:lineRule="auto"/>
            </w:pPr>
            <w:r>
              <w:rPr>
                <w:sz w:val="19"/>
                <w:szCs w:val="19"/>
              </w:rPr>
              <w:t>Spans two cycles, which allows an intern to apply what the first cycle taught to the planning of the second. Suited to portfolios with longitudinal work, to interns contributing to the competing continuation application, and to recent graduates in a defined gap period before further training.</w:t>
            </w:r>
          </w:p>
        </w:tc>
      </w:tr>
    </w:tbl>
    <w:p w:rsidR="00BE55D6" w:rsidRDefault="006C7415">
      <w:pPr>
        <w:spacing w:before="100" w:after="140" w:line="276" w:lineRule="auto"/>
      </w:pPr>
      <w:r>
        <w:t>Nine- and twelve-month terms may begin at other points in the year where the portfolio and the supervising position can support it. A term may be extended once, from nine months to twelve or from twelve to eighteen, by written amendment to the learning agreement and with the agreement of both the intern and the supervising position. Terms are not shortened after the fact except for cause or for a change in the intern's academic or personal circumstances, since the portfolios are assigned on the assumption that the term will be completed.</w:t>
      </w:r>
    </w:p>
    <w:p w:rsidR="00BE55D6" w:rsidRDefault="006C7415">
      <w:pPr>
        <w:pStyle w:val="Heading2"/>
        <w:spacing w:before="260" w:after="120"/>
      </w:pPr>
      <w:r>
        <w:rPr>
          <w:b/>
          <w:bCs/>
          <w:color w:val="12312B"/>
          <w:sz w:val="24"/>
          <w:szCs w:val="24"/>
        </w:rPr>
        <w:t>Scope of Intern Work</w:t>
      </w:r>
    </w:p>
    <w:p w:rsidR="00BE55D6" w:rsidRDefault="006C7415">
      <w:pPr>
        <w:spacing w:after="140" w:line="276" w:lineRule="auto"/>
      </w:pPr>
      <w:r>
        <w:t>The boundary below is stated deliberately, because placements extend the reach of the professional positions without substituting for them. Every applicant should understand it before applying, and every supervisor is accountable for holding it.</w:t>
      </w:r>
    </w:p>
    <w:p w:rsidR="00BE55D6" w:rsidRDefault="006C7415">
      <w:pPr>
        <w:pStyle w:val="ListParagraph"/>
        <w:numPr>
          <w:ilvl w:val="0"/>
          <w:numId w:val="2"/>
        </w:numPr>
        <w:spacing w:after="70" w:line="276" w:lineRule="auto"/>
      </w:pPr>
      <w:r>
        <w:lastRenderedPageBreak/>
        <w:t>Functions carrying compliance, fiscal, or reporting consequence remain with the five budgeted professional positions. These include subrecipient monitoring determinations, federal reporting submissions, evaluation design, and the execution of center agreements.</w:t>
      </w:r>
    </w:p>
    <w:p w:rsidR="00BE55D6" w:rsidRDefault="006C7415">
      <w:pPr>
        <w:pStyle w:val="ListParagraph"/>
        <w:numPr>
          <w:ilvl w:val="0"/>
          <w:numId w:val="2"/>
        </w:numPr>
        <w:spacing w:after="70" w:line="276" w:lineRule="auto"/>
      </w:pPr>
      <w:r>
        <w:t>Work performed within a placement is reviewed and approved by the supervising position before it enters any program record or federal submission.</w:t>
      </w:r>
    </w:p>
    <w:p w:rsidR="00BE55D6" w:rsidRDefault="006C7415">
      <w:pPr>
        <w:pStyle w:val="ListParagraph"/>
        <w:numPr>
          <w:ilvl w:val="0"/>
          <w:numId w:val="2"/>
        </w:numPr>
        <w:spacing w:after="70" w:line="276" w:lineRule="auto"/>
      </w:pPr>
      <w:r>
        <w:t>Interns do not represent the Program Office to HRSA, to the regional centers, or to partner organizations without the supervising position present or an explicit written delegation for a defined task.</w:t>
      </w:r>
    </w:p>
    <w:p w:rsidR="00BE55D6" w:rsidRDefault="006C7415">
      <w:pPr>
        <w:pStyle w:val="ListParagraph"/>
        <w:numPr>
          <w:ilvl w:val="0"/>
          <w:numId w:val="2"/>
        </w:numPr>
        <w:spacing w:after="70" w:line="276" w:lineRule="auto"/>
      </w:pPr>
      <w:r>
        <w:t>Interns do not make determinations about participant selection, eligibility, or program completion, though they may prepare the materials on which those determinations are made.</w:t>
      </w:r>
    </w:p>
    <w:p w:rsidR="00BE55D6" w:rsidRDefault="006C7415">
      <w:pPr>
        <w:spacing w:before="100" w:after="140" w:line="276" w:lineRule="auto"/>
      </w:pPr>
      <w:r>
        <w:t>Read the other way, the boundary is a commitment to the intern. It means the work assigned is work the intern is prepared to do, that a professional position stands behind every product before it leaves the office, and that no one is asked to carry a federal obligation they did not sign up for.</w:t>
      </w:r>
    </w:p>
    <w:p w:rsidR="00BE55D6" w:rsidRDefault="006C7415">
      <w:pPr>
        <w:pStyle w:val="Heading2"/>
        <w:spacing w:before="260" w:after="120"/>
      </w:pPr>
      <w:r>
        <w:rPr>
          <w:b/>
          <w:bCs/>
          <w:color w:val="12312B"/>
          <w:sz w:val="24"/>
          <w:szCs w:val="24"/>
        </w:rPr>
        <w:t>Expectations of Every Intern</w:t>
      </w:r>
    </w:p>
    <w:p w:rsidR="00BE55D6" w:rsidRDefault="006C7415">
      <w:pPr>
        <w:pStyle w:val="ListParagraph"/>
        <w:numPr>
          <w:ilvl w:val="0"/>
          <w:numId w:val="2"/>
        </w:numPr>
        <w:spacing w:after="70" w:line="276" w:lineRule="auto"/>
      </w:pPr>
      <w:r>
        <w:t>Hold the confidentiality of participant, applicant, and partner information, and complete any training the Program Office or the institution requires before handling it.</w:t>
      </w:r>
    </w:p>
    <w:p w:rsidR="00BE55D6" w:rsidRDefault="006C7415">
      <w:pPr>
        <w:pStyle w:val="ListParagraph"/>
        <w:numPr>
          <w:ilvl w:val="0"/>
          <w:numId w:val="2"/>
        </w:numPr>
        <w:spacing w:after="70" w:line="276" w:lineRule="auto"/>
      </w:pPr>
      <w:r>
        <w:t>Complete assigned work by agreed dates, and raise a conflict or a delay early enough that it can be solved rather than absorbed.</w:t>
      </w:r>
    </w:p>
    <w:p w:rsidR="00BE55D6" w:rsidRDefault="006C7415">
      <w:pPr>
        <w:pStyle w:val="ListParagraph"/>
        <w:numPr>
          <w:ilvl w:val="0"/>
          <w:numId w:val="2"/>
        </w:numPr>
        <w:spacing w:after="70" w:line="276" w:lineRule="auto"/>
      </w:pPr>
      <w:r>
        <w:t>Attend the weekly supervision meeting and the Program Office staff meeting, prepared with progress, questions, and anything needing a decision.</w:t>
      </w:r>
    </w:p>
    <w:p w:rsidR="00BE55D6" w:rsidRDefault="006C7415">
      <w:pPr>
        <w:pStyle w:val="ListParagraph"/>
        <w:numPr>
          <w:ilvl w:val="0"/>
          <w:numId w:val="2"/>
        </w:numPr>
        <w:spacing w:after="70" w:line="276" w:lineRule="auto"/>
      </w:pPr>
      <w:r>
        <w:t>Represent the program professionally with students, preceptors, community partners, faculty, and center staff, recognizing that many of these relationships predate the placement and will outlast it.</w:t>
      </w:r>
    </w:p>
    <w:p w:rsidR="00BE55D6" w:rsidRDefault="006C7415">
      <w:pPr>
        <w:pStyle w:val="ListParagraph"/>
        <w:numPr>
          <w:ilvl w:val="0"/>
          <w:numId w:val="2"/>
        </w:numPr>
        <w:spacing w:after="70" w:line="276" w:lineRule="auto"/>
      </w:pPr>
      <w:r>
        <w:t xml:space="preserve">Ask when something is unclear. Interns are not expected to arrive knowing federal grant administration. Note: </w:t>
      </w:r>
      <w:r>
        <w:rPr>
          <w:i/>
        </w:rPr>
        <w:t>a question asked early is materially less costly than a correction made later.</w:t>
      </w:r>
    </w:p>
    <w:p w:rsidR="00BE55D6" w:rsidRDefault="006C7415">
      <w:r>
        <w:br w:type="page"/>
      </w:r>
    </w:p>
    <w:p w:rsidR="00BE55D6" w:rsidRDefault="006C7415">
      <w:pPr>
        <w:pStyle w:val="Heading1"/>
        <w:pBdr>
          <w:bottom w:val="single" w:sz="10" w:space="6" w:color="00693E"/>
        </w:pBdr>
        <w:spacing w:before="320" w:after="180"/>
      </w:pPr>
      <w:r>
        <w:rPr>
          <w:b/>
          <w:bCs/>
          <w:color w:val="00693E"/>
          <w:sz w:val="30"/>
          <w:szCs w:val="30"/>
        </w:rPr>
        <w:lastRenderedPageBreak/>
        <w:t>Applying</w:t>
      </w:r>
    </w:p>
    <w:p w:rsidR="00BE55D6" w:rsidRDefault="006C7415">
      <w:pPr>
        <w:spacing w:after="140" w:line="276" w:lineRule="auto"/>
      </w:pPr>
      <w:r>
        <w:t>Applications are reviewed on a rolling basis, and placements are confirmed in advance of each academic term. Because the number accepted is set by available supervision rather than by demand, applicants are encouraged to inquire early and to indicate a second portfolio of interest.</w:t>
      </w:r>
    </w:p>
    <w:p w:rsidR="00BE55D6" w:rsidRDefault="006C7415">
      <w:pPr>
        <w:pStyle w:val="Heading2"/>
        <w:spacing w:before="260" w:after="120"/>
      </w:pPr>
      <w:r>
        <w:rPr>
          <w:b/>
          <w:bCs/>
          <w:color w:val="12312B"/>
          <w:sz w:val="24"/>
          <w:szCs w:val="24"/>
        </w:rPr>
        <w:t>How to Apply</w:t>
      </w:r>
    </w:p>
    <w:p w:rsidR="00BE55D6" w:rsidRDefault="006C7415">
      <w:pPr>
        <w:pStyle w:val="ListParagraph"/>
        <w:numPr>
          <w:ilvl w:val="0"/>
          <w:numId w:val="2"/>
        </w:numPr>
        <w:spacing w:after="70" w:line="276" w:lineRule="auto"/>
      </w:pPr>
      <w:r>
        <w:t>Submit a current resume or curriculum vitae.</w:t>
      </w:r>
    </w:p>
    <w:p w:rsidR="00BE55D6" w:rsidRDefault="006C7415">
      <w:pPr>
        <w:pStyle w:val="ListParagraph"/>
        <w:numPr>
          <w:ilvl w:val="0"/>
          <w:numId w:val="2"/>
        </w:numPr>
        <w:spacing w:after="70" w:line="276" w:lineRule="auto"/>
      </w:pPr>
      <w:r>
        <w:t>Submit a letter of interest of no more than one page identifying the placement sought, what the applicant hopes to learn, and what they bring to the portfolio.</w:t>
      </w:r>
    </w:p>
    <w:p w:rsidR="00BE55D6" w:rsidRDefault="006C7415">
      <w:pPr>
        <w:pStyle w:val="ListParagraph"/>
        <w:numPr>
          <w:ilvl w:val="0"/>
          <w:numId w:val="2"/>
        </w:numPr>
        <w:spacing w:after="70" w:line="276" w:lineRule="auto"/>
      </w:pPr>
      <w:r>
        <w:t>Identify any academic requirement the placement would satisfy, including an Applied Practice Experience, practicum, independent study, or capstone, together with the name of the faculty member or coordinator who approves it.</w:t>
      </w:r>
    </w:p>
    <w:p w:rsidR="00BE55D6" w:rsidRDefault="006C7415">
      <w:pPr>
        <w:pStyle w:val="ListParagraph"/>
        <w:numPr>
          <w:ilvl w:val="0"/>
          <w:numId w:val="2"/>
        </w:numPr>
        <w:spacing w:after="70" w:line="276" w:lineRule="auto"/>
      </w:pPr>
      <w:r>
        <w:t>Indicate the term of service sought — nine, twelve, or eighteen months — together with a preferred start date and the number of hours per week that can realistically be committed.</w:t>
      </w:r>
    </w:p>
    <w:p w:rsidR="00BE55D6" w:rsidRDefault="006C7415">
      <w:pPr>
        <w:pStyle w:val="ListParagraph"/>
        <w:numPr>
          <w:ilvl w:val="0"/>
          <w:numId w:val="2"/>
        </w:numPr>
        <w:spacing w:after="70" w:line="276" w:lineRule="auto"/>
      </w:pPr>
      <w:r>
        <w:t>Provide the name and contact information of one academic or professional reference.</w:t>
      </w:r>
    </w:p>
    <w:p w:rsidR="00BE55D6" w:rsidRDefault="006C7415">
      <w:pPr>
        <w:spacing w:before="100" w:after="140" w:line="276" w:lineRule="auto"/>
      </w:pPr>
      <w:r>
        <w:t>Materials are submitted to the New Hampshire AHEC Program Office at the Geisel School of Medicine. Applicants selected for consideration meet with the supervising position to discuss fit, scope, and the terms of the placement agreement before an offer is made.</w:t>
      </w:r>
    </w:p>
    <w:p w:rsidR="00BE55D6" w:rsidRDefault="006C7415">
      <w:pPr>
        <w:pStyle w:val="Heading2"/>
        <w:spacing w:before="260" w:after="120"/>
      </w:pPr>
      <w:r>
        <w:rPr>
          <w:b/>
          <w:bCs/>
          <w:color w:val="12312B"/>
          <w:sz w:val="24"/>
          <w:szCs w:val="24"/>
        </w:rPr>
        <w:t>Selection</w:t>
      </w:r>
    </w:p>
    <w:p w:rsidR="00BE55D6" w:rsidRDefault="006C7415">
      <w:pPr>
        <w:spacing w:after="140" w:line="276" w:lineRule="auto"/>
      </w:pPr>
      <w:r>
        <w:t>Selection considers the alignment between the applicant's stated learning goals and the portfolio, the applicant's readiness to carry the work with the level of supervision the position can provide, and the applicant's ability to complete the term of service the portfolio requires. The Program Office recruits deliberately from across disciplines and institutions, and applications from students and recent graduates whose backgrounds are underrepresented in the health and public health professions are particularly welcome.</w:t>
      </w:r>
    </w:p>
    <w:p w:rsidR="00BE55D6" w:rsidRDefault="006C7415">
      <w:pPr>
        <w:pBdr>
          <w:top w:val="single" w:sz="6" w:space="8" w:color="C9D6CE"/>
        </w:pBdr>
        <w:spacing w:before="400"/>
      </w:pPr>
      <w:r>
        <w:rPr>
          <w:i/>
          <w:iCs/>
          <w:color w:val="5A5A5A"/>
          <w:sz w:val="17"/>
          <w:szCs w:val="17"/>
        </w:rPr>
        <w:t>Prepared by the New Hampshire AHEC Program Office at the Geisel School of Medicine at Dartmouth. These descriptions are maintained as a working reference and are revised as the staffing structure, the cooperative agreement, and program conditions require. Placements are uncompensated experiential learning opportunities and do not constitute an offer of employment.</w:t>
      </w:r>
    </w:p>
    <w:sectPr w:rsidR="00BE55D6">
      <w:headerReference w:type="default" r:id="rId9"/>
      <w:footerReference w:type="default" r:id="rId10"/>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2B5A" w:rsidRDefault="00F22B5A">
      <w:r>
        <w:separator/>
      </w:r>
    </w:p>
  </w:endnote>
  <w:endnote w:type="continuationSeparator" w:id="0">
    <w:p w:rsidR="00F22B5A" w:rsidRDefault="00F22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415" w:rsidRDefault="006C7415">
    <w:pPr>
      <w:jc w:val="center"/>
    </w:pPr>
    <w:r>
      <w:rPr>
        <w:color w:val="5A5A5A"/>
        <w:sz w:val="16"/>
        <w:szCs w:val="16"/>
      </w:rPr>
      <w:t xml:space="preserve">Page </w:t>
    </w:r>
    <w:r>
      <w:rPr>
        <w:color w:val="5A5A5A"/>
        <w:sz w:val="16"/>
        <w:szCs w:val="16"/>
      </w:rPr>
      <w:fldChar w:fldCharType="begin"/>
    </w:r>
    <w:r>
      <w:rPr>
        <w:color w:val="5A5A5A"/>
        <w:sz w:val="16"/>
        <w:szCs w:val="16"/>
      </w:rPr>
      <w:instrText>PAGE</w:instrText>
    </w:r>
    <w:r>
      <w:rPr>
        <w:color w:val="5A5A5A"/>
        <w:sz w:val="16"/>
        <w:szCs w:val="16"/>
      </w:rPr>
      <w:fldChar w:fldCharType="separate"/>
    </w:r>
    <w:r>
      <w:rPr>
        <w:noProof/>
        <w:color w:val="5A5A5A"/>
        <w:sz w:val="16"/>
        <w:szCs w:val="16"/>
      </w:rPr>
      <w:t>1</w:t>
    </w:r>
    <w:r>
      <w:rPr>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2B5A" w:rsidRDefault="00F22B5A">
      <w:r>
        <w:separator/>
      </w:r>
    </w:p>
  </w:footnote>
  <w:footnote w:type="continuationSeparator" w:id="0">
    <w:p w:rsidR="00F22B5A" w:rsidRDefault="00F22B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415" w:rsidRDefault="006C7415">
    <w:pPr>
      <w:pBdr>
        <w:bottom w:val="single" w:sz="4" w:space="4" w:color="C9D6CE"/>
      </w:pBdr>
      <w:spacing w:after="120"/>
      <w:jc w:val="right"/>
    </w:pPr>
    <w:r>
      <w:rPr>
        <w:color w:val="5A5A5A"/>
        <w:sz w:val="16"/>
        <w:szCs w:val="16"/>
      </w:rPr>
      <w:t xml:space="preserve">New Hampshire AHEC Program </w:t>
    </w:r>
    <w:proofErr w:type="gramStart"/>
    <w:r>
      <w:rPr>
        <w:color w:val="5A5A5A"/>
        <w:sz w:val="16"/>
        <w:szCs w:val="16"/>
      </w:rPr>
      <w:t>Office  ·</w:t>
    </w:r>
    <w:proofErr w:type="gramEnd"/>
    <w:r>
      <w:rPr>
        <w:color w:val="5A5A5A"/>
        <w:sz w:val="16"/>
        <w:szCs w:val="16"/>
      </w:rPr>
      <w:t xml:space="preserve">  Community Engagement Impact Intern  ·  AY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230AF"/>
    <w:multiLevelType w:val="hybridMultilevel"/>
    <w:tmpl w:val="C02E182C"/>
    <w:lvl w:ilvl="0" w:tplc="C9EE4E9E">
      <w:start w:val="1"/>
      <w:numFmt w:val="bullet"/>
      <w:lvlText w:val="●"/>
      <w:lvlJc w:val="left"/>
      <w:pPr>
        <w:ind w:left="720" w:hanging="360"/>
      </w:pPr>
    </w:lvl>
    <w:lvl w:ilvl="1" w:tplc="6616E860">
      <w:start w:val="1"/>
      <w:numFmt w:val="bullet"/>
      <w:lvlText w:val="○"/>
      <w:lvlJc w:val="left"/>
      <w:pPr>
        <w:ind w:left="1440" w:hanging="360"/>
      </w:pPr>
    </w:lvl>
    <w:lvl w:ilvl="2" w:tplc="2D6E4FCA">
      <w:start w:val="1"/>
      <w:numFmt w:val="bullet"/>
      <w:lvlText w:val="■"/>
      <w:lvlJc w:val="left"/>
      <w:pPr>
        <w:ind w:left="2160" w:hanging="360"/>
      </w:pPr>
    </w:lvl>
    <w:lvl w:ilvl="3" w:tplc="6FD0062C">
      <w:start w:val="1"/>
      <w:numFmt w:val="bullet"/>
      <w:lvlText w:val="●"/>
      <w:lvlJc w:val="left"/>
      <w:pPr>
        <w:ind w:left="2880" w:hanging="360"/>
      </w:pPr>
    </w:lvl>
    <w:lvl w:ilvl="4" w:tplc="062C1528">
      <w:start w:val="1"/>
      <w:numFmt w:val="bullet"/>
      <w:lvlText w:val="○"/>
      <w:lvlJc w:val="left"/>
      <w:pPr>
        <w:ind w:left="3600" w:hanging="360"/>
      </w:pPr>
    </w:lvl>
    <w:lvl w:ilvl="5" w:tplc="0890F2B2">
      <w:start w:val="1"/>
      <w:numFmt w:val="bullet"/>
      <w:lvlText w:val="■"/>
      <w:lvlJc w:val="left"/>
      <w:pPr>
        <w:ind w:left="4320" w:hanging="360"/>
      </w:pPr>
    </w:lvl>
    <w:lvl w:ilvl="6" w:tplc="3DD0D18C">
      <w:start w:val="1"/>
      <w:numFmt w:val="bullet"/>
      <w:lvlText w:val="●"/>
      <w:lvlJc w:val="left"/>
      <w:pPr>
        <w:ind w:left="5040" w:hanging="360"/>
      </w:pPr>
    </w:lvl>
    <w:lvl w:ilvl="7" w:tplc="8DF6A3C0">
      <w:start w:val="1"/>
      <w:numFmt w:val="bullet"/>
      <w:lvlText w:val="●"/>
      <w:lvlJc w:val="left"/>
      <w:pPr>
        <w:ind w:left="5760" w:hanging="360"/>
      </w:pPr>
    </w:lvl>
    <w:lvl w:ilvl="8" w:tplc="9EACB852">
      <w:start w:val="1"/>
      <w:numFmt w:val="bullet"/>
      <w:lvlText w:val="●"/>
      <w:lvlJc w:val="left"/>
      <w:pPr>
        <w:ind w:left="6480" w:hanging="360"/>
      </w:pPr>
    </w:lvl>
  </w:abstractNum>
  <w:abstractNum w:abstractNumId="1" w15:restartNumberingAfterBreak="0">
    <w:nsid w:val="693B48B1"/>
    <w:multiLevelType w:val="hybridMultilevel"/>
    <w:tmpl w:val="FCD4DC74"/>
    <w:lvl w:ilvl="0" w:tplc="02A607DA">
      <w:start w:val="1"/>
      <w:numFmt w:val="bullet"/>
      <w:lvlText w:val="•"/>
      <w:lvlJc w:val="left"/>
      <w:pPr>
        <w:ind w:left="431" w:hanging="259"/>
      </w:pPr>
    </w:lvl>
    <w:lvl w:ilvl="1" w:tplc="805E0784">
      <w:numFmt w:val="decimal"/>
      <w:lvlText w:val=""/>
      <w:lvlJc w:val="left"/>
    </w:lvl>
    <w:lvl w:ilvl="2" w:tplc="CB9A83A6">
      <w:numFmt w:val="decimal"/>
      <w:lvlText w:val=""/>
      <w:lvlJc w:val="left"/>
    </w:lvl>
    <w:lvl w:ilvl="3" w:tplc="1CC64C68">
      <w:numFmt w:val="decimal"/>
      <w:lvlText w:val=""/>
      <w:lvlJc w:val="left"/>
    </w:lvl>
    <w:lvl w:ilvl="4" w:tplc="8FE249AA">
      <w:numFmt w:val="decimal"/>
      <w:lvlText w:val=""/>
      <w:lvlJc w:val="left"/>
    </w:lvl>
    <w:lvl w:ilvl="5" w:tplc="8CD417B2">
      <w:numFmt w:val="decimal"/>
      <w:lvlText w:val=""/>
      <w:lvlJc w:val="left"/>
    </w:lvl>
    <w:lvl w:ilvl="6" w:tplc="56EACF80">
      <w:numFmt w:val="decimal"/>
      <w:lvlText w:val=""/>
      <w:lvlJc w:val="left"/>
    </w:lvl>
    <w:lvl w:ilvl="7" w:tplc="113A49D4">
      <w:numFmt w:val="decimal"/>
      <w:lvlText w:val=""/>
      <w:lvlJc w:val="left"/>
    </w:lvl>
    <w:lvl w:ilvl="8" w:tplc="A560E156">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5D6"/>
    <w:rsid w:val="00013BAA"/>
    <w:rsid w:val="002E37CC"/>
    <w:rsid w:val="003E1A90"/>
    <w:rsid w:val="005820B6"/>
    <w:rsid w:val="00633CDD"/>
    <w:rsid w:val="006C7415"/>
    <w:rsid w:val="00BE55D6"/>
    <w:rsid w:val="00C9409B"/>
    <w:rsid w:val="00E038B2"/>
    <w:rsid w:val="00F22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CD526285-55A7-2643-B15C-55A9C23B9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1F1F1F"/>
        <w:sz w:val="21"/>
        <w:szCs w:val="21"/>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692137">
      <w:bodyDiv w:val="1"/>
      <w:marLeft w:val="0"/>
      <w:marRight w:val="0"/>
      <w:marTop w:val="0"/>
      <w:marBottom w:val="0"/>
      <w:divBdr>
        <w:top w:val="none" w:sz="0" w:space="0" w:color="auto"/>
        <w:left w:val="none" w:sz="0" w:space="0" w:color="auto"/>
        <w:bottom w:val="none" w:sz="0" w:space="0" w:color="auto"/>
        <w:right w:val="none" w:sz="0" w:space="0" w:color="auto"/>
      </w:divBdr>
    </w:div>
    <w:div w:id="494345380">
      <w:bodyDiv w:val="1"/>
      <w:marLeft w:val="0"/>
      <w:marRight w:val="0"/>
      <w:marTop w:val="0"/>
      <w:marBottom w:val="0"/>
      <w:divBdr>
        <w:top w:val="none" w:sz="0" w:space="0" w:color="auto"/>
        <w:left w:val="none" w:sz="0" w:space="0" w:color="auto"/>
        <w:bottom w:val="none" w:sz="0" w:space="0" w:color="auto"/>
        <w:right w:val="none" w:sz="0" w:space="0" w:color="auto"/>
      </w:divBdr>
    </w:div>
    <w:div w:id="758065953">
      <w:bodyDiv w:val="1"/>
      <w:marLeft w:val="0"/>
      <w:marRight w:val="0"/>
      <w:marTop w:val="0"/>
      <w:marBottom w:val="0"/>
      <w:divBdr>
        <w:top w:val="none" w:sz="0" w:space="0" w:color="auto"/>
        <w:left w:val="none" w:sz="0" w:space="0" w:color="auto"/>
        <w:bottom w:val="none" w:sz="0" w:space="0" w:color="auto"/>
        <w:right w:val="none" w:sz="0" w:space="0" w:color="auto"/>
      </w:divBdr>
    </w:div>
    <w:div w:id="854539468">
      <w:bodyDiv w:val="1"/>
      <w:marLeft w:val="0"/>
      <w:marRight w:val="0"/>
      <w:marTop w:val="0"/>
      <w:marBottom w:val="0"/>
      <w:divBdr>
        <w:top w:val="none" w:sz="0" w:space="0" w:color="auto"/>
        <w:left w:val="none" w:sz="0" w:space="0" w:color="auto"/>
        <w:bottom w:val="none" w:sz="0" w:space="0" w:color="auto"/>
        <w:right w:val="none" w:sz="0" w:space="0" w:color="auto"/>
      </w:divBdr>
    </w:div>
    <w:div w:id="1222130998">
      <w:bodyDiv w:val="1"/>
      <w:marLeft w:val="0"/>
      <w:marRight w:val="0"/>
      <w:marTop w:val="0"/>
      <w:marBottom w:val="0"/>
      <w:divBdr>
        <w:top w:val="none" w:sz="0" w:space="0" w:color="auto"/>
        <w:left w:val="none" w:sz="0" w:space="0" w:color="auto"/>
        <w:bottom w:val="none" w:sz="0" w:space="0" w:color="auto"/>
        <w:right w:val="none" w:sz="0" w:space="0" w:color="auto"/>
      </w:divBdr>
    </w:div>
    <w:div w:id="15438616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2609</Words>
  <Characters>14875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Alicia L. Battle</cp:lastModifiedBy>
  <cp:revision>2</cp:revision>
  <cp:lastPrinted>2026-09-30T15:23:00Z</cp:lastPrinted>
  <dcterms:created xsi:type="dcterms:W3CDTF">2026-09-30T16:41:00Z</dcterms:created>
  <dcterms:modified xsi:type="dcterms:W3CDTF">2026-09-30T16:41:00Z</dcterms:modified>
</cp:coreProperties>
</file>