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DB86" w14:textId="499295D2" w:rsidR="00186D0B" w:rsidRPr="00EC6374" w:rsidRDefault="003E3125">
      <w:r>
        <w:tab/>
      </w:r>
      <w:r w:rsidR="00EC37ED">
        <w:t>Established in 2002, t</w:t>
      </w:r>
      <w:r w:rsidR="00EC37ED" w:rsidRPr="00EC37ED">
        <w:t>he Genomics &amp; Molecular Biology Shared Resource</w:t>
      </w:r>
      <w:r w:rsidR="00EC37ED">
        <w:t xml:space="preserve"> (GMBSR) provides</w:t>
      </w:r>
      <w:r w:rsidR="00EC37ED" w:rsidRPr="00EC37ED">
        <w:t xml:space="preserve"> advanced genomics technologies required to support the full range of biomedical research conducted at Dartmouth</w:t>
      </w:r>
      <w:r w:rsidR="00EC37ED">
        <w:t xml:space="preserve">. Housed </w:t>
      </w:r>
      <w:r w:rsidR="008A7CBA">
        <w:t>in a 1,500 sq/ft space within</w:t>
      </w:r>
      <w:r w:rsidR="00EC37ED">
        <w:t xml:space="preserve"> the NCI-designated </w:t>
      </w:r>
      <w:r w:rsidR="00A101AE">
        <w:t>Dartmouth</w:t>
      </w:r>
      <w:r w:rsidR="00EC37ED">
        <w:t xml:space="preserve"> Cancer Center, the GMBSR operates as a fee-for-service core facility, providing a range of services from</w:t>
      </w:r>
      <w:r w:rsidR="002A22EE">
        <w:t xml:space="preserve"> </w:t>
      </w:r>
      <w:r w:rsidR="00EC37ED">
        <w:t xml:space="preserve">nucleic acid extraction and QC through </w:t>
      </w:r>
      <w:r w:rsidR="00BA37BA">
        <w:t xml:space="preserve">library preparation and </w:t>
      </w:r>
      <w:r w:rsidR="00EC37ED">
        <w:t>Next-Generation S</w:t>
      </w:r>
      <w:r w:rsidR="002A22EE">
        <w:t xml:space="preserve">equencing </w:t>
      </w:r>
      <w:r w:rsidR="00BA37BA">
        <w:t>as well as</w:t>
      </w:r>
      <w:r w:rsidR="002A22EE">
        <w:t xml:space="preserve"> microarray-based –omics </w:t>
      </w:r>
      <w:r w:rsidR="00973DC5">
        <w:t>technologies</w:t>
      </w:r>
      <w:r w:rsidR="002A22EE">
        <w:t xml:space="preserve">. </w:t>
      </w:r>
      <w:r w:rsidR="00973DC5">
        <w:t>The</w:t>
      </w:r>
      <w:r w:rsidR="002A22EE">
        <w:t xml:space="preserve"> facility leverages Illumina</w:t>
      </w:r>
      <w:r w:rsidR="001B664B">
        <w:t xml:space="preserve"> NextSeq</w:t>
      </w:r>
      <w:r w:rsidR="003772FB">
        <w:t xml:space="preserve">2000, Novaseq6000, </w:t>
      </w:r>
      <w:proofErr w:type="spellStart"/>
      <w:r w:rsidR="003772FB">
        <w:t>Miseq</w:t>
      </w:r>
      <w:proofErr w:type="spellEnd"/>
      <w:r w:rsidR="001B664B">
        <w:t xml:space="preserve"> and </w:t>
      </w:r>
      <w:proofErr w:type="spellStart"/>
      <w:r w:rsidR="001B664B">
        <w:t>MiniSeq</w:t>
      </w:r>
      <w:proofErr w:type="spellEnd"/>
      <w:r w:rsidR="003772FB">
        <w:t xml:space="preserve"> platforms</w:t>
      </w:r>
      <w:r w:rsidR="002A22EE">
        <w:t xml:space="preserve"> to sequence DNA (genome, </w:t>
      </w:r>
      <w:proofErr w:type="gramStart"/>
      <w:r w:rsidR="002A22EE">
        <w:t>exome</w:t>
      </w:r>
      <w:proofErr w:type="gramEnd"/>
      <w:r w:rsidR="002A22EE">
        <w:t xml:space="preserve"> and </w:t>
      </w:r>
      <w:r w:rsidR="00423554">
        <w:t>t</w:t>
      </w:r>
      <w:r w:rsidR="002A22EE">
        <w:t>argeted/amplicon) and RNA (mRNA and miRNA) on a genome-wide scale</w:t>
      </w:r>
      <w:r w:rsidR="003772FB">
        <w:t>.</w:t>
      </w:r>
      <w:r w:rsidR="002A22EE">
        <w:t xml:space="preserve"> Illumina </w:t>
      </w:r>
      <w:r w:rsidR="003772FB">
        <w:t xml:space="preserve">Infinium </w:t>
      </w:r>
      <w:r w:rsidR="002A22EE">
        <w:t xml:space="preserve">microarray technologies </w:t>
      </w:r>
      <w:r w:rsidR="003772FB">
        <w:t>are also available for SNP genotyping and</w:t>
      </w:r>
      <w:r w:rsidR="002A22EE">
        <w:t xml:space="preserve"> epigenome pro</w:t>
      </w:r>
      <w:r w:rsidR="003142B4">
        <w:t>filing</w:t>
      </w:r>
      <w:r w:rsidR="003772FB">
        <w:t xml:space="preserve"> applications</w:t>
      </w:r>
      <w:r w:rsidR="003142B4">
        <w:t xml:space="preserve">. In addition, the GMBSR houses a </w:t>
      </w:r>
      <w:proofErr w:type="spellStart"/>
      <w:r w:rsidR="003142B4">
        <w:t>Nanostring</w:t>
      </w:r>
      <w:proofErr w:type="spellEnd"/>
      <w:r w:rsidR="003142B4">
        <w:t xml:space="preserve"> instrument for targeted DNA/RNA/Protein analysis and provides next-day Sanger sequencing services. The Single Cell Genomics Core</w:t>
      </w:r>
      <w:r w:rsidR="002D1E11">
        <w:t xml:space="preserve"> (SCGC)</w:t>
      </w:r>
      <w:r w:rsidR="003142B4">
        <w:t xml:space="preserve">, a </w:t>
      </w:r>
      <w:r w:rsidR="00EA24BD">
        <w:t>division of the</w:t>
      </w:r>
      <w:r w:rsidR="003142B4">
        <w:t xml:space="preserve"> GMBSR, was established in 2018 to enable the </w:t>
      </w:r>
      <w:r w:rsidR="00676B07">
        <w:t>sequencing</w:t>
      </w:r>
      <w:r w:rsidR="00B2323B">
        <w:t xml:space="preserve"> </w:t>
      </w:r>
      <w:r w:rsidR="003142B4">
        <w:t xml:space="preserve">of </w:t>
      </w:r>
      <w:r w:rsidR="00B2323B">
        <w:t xml:space="preserve">DNA, RNA, </w:t>
      </w:r>
      <w:r w:rsidR="004D0601">
        <w:t>proteins,</w:t>
      </w:r>
      <w:r w:rsidR="00B2323B">
        <w:t xml:space="preserve"> and other molecules from </w:t>
      </w:r>
      <w:r w:rsidR="002D1E11">
        <w:t xml:space="preserve">fresh and fixed </w:t>
      </w:r>
      <w:r w:rsidR="00013FDC">
        <w:t>specimens with single cell and spatial resolution</w:t>
      </w:r>
      <w:r w:rsidR="00676B07">
        <w:t xml:space="preserve"> using the 10x Genomics Chromium </w:t>
      </w:r>
      <w:r w:rsidR="002D1E11">
        <w:t xml:space="preserve">X </w:t>
      </w:r>
      <w:r w:rsidR="001B35D2">
        <w:t xml:space="preserve">and </w:t>
      </w:r>
      <w:proofErr w:type="spellStart"/>
      <w:r w:rsidR="001B35D2">
        <w:t>Visium</w:t>
      </w:r>
      <w:proofErr w:type="spellEnd"/>
      <w:r w:rsidR="001B35D2">
        <w:t xml:space="preserve"> platforms</w:t>
      </w:r>
      <w:r w:rsidR="003142B4">
        <w:t>, and other technologies.</w:t>
      </w:r>
      <w:r w:rsidR="00973DC5">
        <w:t xml:space="preserve"> </w:t>
      </w:r>
      <w:r w:rsidR="00013FDC">
        <w:t xml:space="preserve">The SCGC specializes in end-to-end workflows for single cell and spatial genomics applications, from sample collection and processing, through primary data analysis. </w:t>
      </w:r>
      <w:r w:rsidR="003B5648">
        <w:t>Instruments for single cell sample preparation include a Curiox MINI laminar wash station</w:t>
      </w:r>
      <w:r w:rsidR="00EC6374">
        <w:t>,</w:t>
      </w:r>
      <w:r w:rsidR="003B5648">
        <w:t xml:space="preserve"> </w:t>
      </w:r>
      <w:proofErr w:type="spellStart"/>
      <w:r w:rsidR="003B5648">
        <w:t>Cytiva</w:t>
      </w:r>
      <w:proofErr w:type="spellEnd"/>
      <w:r w:rsidR="003B5648">
        <w:t xml:space="preserve"> VIA tissue </w:t>
      </w:r>
      <w:proofErr w:type="spellStart"/>
      <w:r w:rsidR="003B5648">
        <w:t>dissociator</w:t>
      </w:r>
      <w:proofErr w:type="spellEnd"/>
      <w:r w:rsidR="00EC6374">
        <w:t xml:space="preserve"> and Nexcelom K2 automated fluorescent cell counter</w:t>
      </w:r>
      <w:r w:rsidR="003B5648">
        <w:t xml:space="preserve">. </w:t>
      </w:r>
      <w:r w:rsidR="002D1E11">
        <w:t xml:space="preserve">Several pieces of instrumentation and dedicated expertise are available for spatial genomic applications. </w:t>
      </w:r>
      <w:r w:rsidR="00013FDC">
        <w:t>Fresh f</w:t>
      </w:r>
      <w:r w:rsidR="002D1E11">
        <w:t xml:space="preserve">rozen and FFPE tissue sections </w:t>
      </w:r>
      <w:r w:rsidR="00013FDC">
        <w:t>can be processed for the</w:t>
      </w:r>
      <w:r w:rsidR="002D1E11">
        <w:t xml:space="preserve"> 10x Genomics </w:t>
      </w:r>
      <w:proofErr w:type="spellStart"/>
      <w:r w:rsidR="002D1E11">
        <w:t>Visium</w:t>
      </w:r>
      <w:proofErr w:type="spellEnd"/>
      <w:r w:rsidR="002D1E11">
        <w:t xml:space="preserve"> assay</w:t>
      </w:r>
      <w:r w:rsidR="00013FDC">
        <w:t>, with</w:t>
      </w:r>
      <w:r w:rsidR="002D1E11">
        <w:t xml:space="preserve"> an enhanced workflow </w:t>
      </w:r>
      <w:r w:rsidR="00013FDC">
        <w:t xml:space="preserve">for hands-off processing of FFPE tissues on spatially barcoded </w:t>
      </w:r>
      <w:proofErr w:type="spellStart"/>
      <w:r w:rsidR="00013FDC">
        <w:t>Visium</w:t>
      </w:r>
      <w:proofErr w:type="spellEnd"/>
      <w:r w:rsidR="00013FDC">
        <w:t xml:space="preserve"> slides using</w:t>
      </w:r>
      <w:r w:rsidR="002D1E11">
        <w:t xml:space="preserve"> the 10x Genomics </w:t>
      </w:r>
      <w:proofErr w:type="spellStart"/>
      <w:r w:rsidR="002D1E11">
        <w:t>CytAssist</w:t>
      </w:r>
      <w:proofErr w:type="spellEnd"/>
      <w:r w:rsidR="002D1E11">
        <w:t xml:space="preserve"> platform.</w:t>
      </w:r>
      <w:r w:rsidR="00A14C35">
        <w:t xml:space="preserve"> Through integration with the Pathology Shared Resource, H&amp;E </w:t>
      </w:r>
      <w:proofErr w:type="gramStart"/>
      <w:r w:rsidR="00A14C35">
        <w:t>staining</w:t>
      </w:r>
      <w:proofErr w:type="gramEnd"/>
      <w:r w:rsidR="00A14C35">
        <w:t xml:space="preserve"> and imaging of </w:t>
      </w:r>
      <w:proofErr w:type="spellStart"/>
      <w:r w:rsidR="00A14C35">
        <w:t>Visium</w:t>
      </w:r>
      <w:proofErr w:type="spellEnd"/>
      <w:r w:rsidR="00A14C35">
        <w:t xml:space="preserve"> slides are performed using clinical-grade </w:t>
      </w:r>
      <w:proofErr w:type="spellStart"/>
      <w:r w:rsidR="00A14C35">
        <w:t>autostainers</w:t>
      </w:r>
      <w:proofErr w:type="spellEnd"/>
      <w:r w:rsidR="00A14C35">
        <w:t xml:space="preserve"> and </w:t>
      </w:r>
      <w:proofErr w:type="spellStart"/>
      <w:r w:rsidR="00A14C35">
        <w:t>Aperio</w:t>
      </w:r>
      <w:proofErr w:type="spellEnd"/>
      <w:r w:rsidR="00A14C35">
        <w:t xml:space="preserve"> AT2 imagers, providing 40x, whole-slide images.</w:t>
      </w:r>
      <w:r w:rsidR="002D1E11">
        <w:t xml:space="preserve"> A Vizgen MERSCOPE instrument was recently acquired for highly multiplexed single molecule </w:t>
      </w:r>
      <w:r w:rsidR="00EC6374">
        <w:t>FISH</w:t>
      </w:r>
      <w:r w:rsidR="002D1E11">
        <w:t xml:space="preserve"> in frozen and FFPE tissue sections, provid</w:t>
      </w:r>
      <w:r w:rsidR="00EC6374">
        <w:t>ing</w:t>
      </w:r>
      <w:r w:rsidR="002D1E11">
        <w:t xml:space="preserve"> single molecule resolution of up to 500 RNA targets</w:t>
      </w:r>
      <w:r w:rsidR="00EC6374">
        <w:t>.</w:t>
      </w:r>
    </w:p>
    <w:sectPr w:rsidR="00186D0B" w:rsidRPr="00EC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125"/>
    <w:rsid w:val="00013FDC"/>
    <w:rsid w:val="000B3D5E"/>
    <w:rsid w:val="00186D0B"/>
    <w:rsid w:val="001B35D2"/>
    <w:rsid w:val="001B664B"/>
    <w:rsid w:val="00282C4F"/>
    <w:rsid w:val="002925BE"/>
    <w:rsid w:val="002A22EE"/>
    <w:rsid w:val="002D1E11"/>
    <w:rsid w:val="003142B4"/>
    <w:rsid w:val="003772FB"/>
    <w:rsid w:val="003B5648"/>
    <w:rsid w:val="003E3125"/>
    <w:rsid w:val="00423554"/>
    <w:rsid w:val="004D0601"/>
    <w:rsid w:val="006046AE"/>
    <w:rsid w:val="00676B07"/>
    <w:rsid w:val="00847DE4"/>
    <w:rsid w:val="008A7CBA"/>
    <w:rsid w:val="00973DC5"/>
    <w:rsid w:val="00A101AE"/>
    <w:rsid w:val="00A14C35"/>
    <w:rsid w:val="00A70649"/>
    <w:rsid w:val="00B2323B"/>
    <w:rsid w:val="00BA37BA"/>
    <w:rsid w:val="00CB0FA8"/>
    <w:rsid w:val="00E15F3C"/>
    <w:rsid w:val="00EA24BD"/>
    <w:rsid w:val="00EC37ED"/>
    <w:rsid w:val="00EC6374"/>
    <w:rsid w:val="00F10113"/>
    <w:rsid w:val="00F7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F939"/>
  <w15:chartTrackingRefBased/>
  <w15:docId w15:val="{9C46EBF5-5B46-4C10-A1C2-209FEE86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Kolling</dc:creator>
  <cp:keywords/>
  <dc:description/>
  <cp:lastModifiedBy>Fred W. Kolling IV</cp:lastModifiedBy>
  <cp:revision>16</cp:revision>
  <dcterms:created xsi:type="dcterms:W3CDTF">2019-02-25T15:18:00Z</dcterms:created>
  <dcterms:modified xsi:type="dcterms:W3CDTF">2023-06-07T14:55:00Z</dcterms:modified>
</cp:coreProperties>
</file>