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3196D44C" w:rsidR="00812185" w:rsidRPr="00B07022" w:rsidRDefault="00812185" w:rsidP="00812185">
      <w:pPr>
        <w:pStyle w:val="FormFieldCaption1"/>
        <w:pBdr>
          <w:between w:val="single" w:sz="4" w:space="1" w:color="auto"/>
        </w:pBdr>
        <w:rPr>
          <w:rFonts w:ascii="Georgia" w:hAnsi="Georgia"/>
          <w:sz w:val="32"/>
          <w:szCs w:val="20"/>
        </w:rPr>
      </w:pPr>
      <w:r w:rsidRPr="00B07022">
        <w:rPr>
          <w:rFonts w:ascii="Georgia" w:hAnsi="Georgia"/>
          <w:sz w:val="22"/>
        </w:rPr>
        <w:t>NAME:</w:t>
      </w:r>
      <w:r w:rsidR="00B07022" w:rsidRPr="00B07022">
        <w:rPr>
          <w:rFonts w:ascii="Georgia" w:hAnsi="Georgia"/>
        </w:rPr>
        <w:t xml:space="preserve">  </w:t>
      </w:r>
      <w:r w:rsidR="00B07022" w:rsidRPr="00B07022">
        <w:rPr>
          <w:rFonts w:ascii="Georgia" w:hAnsi="Georgia"/>
          <w:sz w:val="22"/>
          <w:szCs w:val="22"/>
        </w:rPr>
        <w:t xml:space="preserve"> Dunlap, Jay C</w:t>
      </w:r>
    </w:p>
    <w:p w14:paraId="39FFD988" w14:textId="4135E5CA" w:rsidR="003E1568" w:rsidRPr="00B07022" w:rsidRDefault="003E1568" w:rsidP="00812185">
      <w:pPr>
        <w:pStyle w:val="FormFieldCaption1"/>
        <w:pBdr>
          <w:between w:val="single" w:sz="4" w:space="1" w:color="auto"/>
        </w:pBdr>
        <w:rPr>
          <w:rFonts w:ascii="Georgia" w:hAnsi="Georgia"/>
          <w:sz w:val="22"/>
          <w:szCs w:val="22"/>
        </w:rPr>
      </w:pPr>
      <w:r w:rsidRPr="00B07022">
        <w:rPr>
          <w:rFonts w:ascii="Georgia" w:hAnsi="Georgia"/>
          <w:sz w:val="22"/>
        </w:rPr>
        <w:t>eRA COMMONS USER NAME (credential, e.g., agency login):</w:t>
      </w:r>
      <w:r w:rsidR="00B07022" w:rsidRPr="00B07022">
        <w:rPr>
          <w:rFonts w:ascii="Georgia" w:hAnsi="Georgia"/>
        </w:rPr>
        <w:t xml:space="preserve">  </w:t>
      </w:r>
      <w:r w:rsidR="00B07022" w:rsidRPr="00B07022">
        <w:rPr>
          <w:rFonts w:ascii="Georgia" w:hAnsi="Georgia"/>
          <w:sz w:val="22"/>
          <w:szCs w:val="22"/>
        </w:rPr>
        <w:t xml:space="preserve"> JCDUNLAP</w:t>
      </w:r>
    </w:p>
    <w:p w14:paraId="0A2AD4B2" w14:textId="7D6DCFBB" w:rsidR="00812185" w:rsidRPr="00B07022" w:rsidRDefault="00812185" w:rsidP="00812185">
      <w:pPr>
        <w:pStyle w:val="FormFieldCaption1"/>
        <w:pBdr>
          <w:between w:val="single" w:sz="4" w:space="1" w:color="auto"/>
        </w:pBdr>
        <w:rPr>
          <w:rFonts w:ascii="Georgia" w:hAnsi="Georgia"/>
          <w:sz w:val="32"/>
        </w:rPr>
      </w:pPr>
      <w:r w:rsidRPr="00B07022">
        <w:rPr>
          <w:rFonts w:ascii="Georgia" w:hAnsi="Georgia"/>
          <w:sz w:val="22"/>
        </w:rPr>
        <w:t>POSITION TITLE:</w:t>
      </w:r>
      <w:r w:rsidR="00B07022" w:rsidRPr="00B07022">
        <w:rPr>
          <w:rFonts w:ascii="Georgia" w:hAnsi="Georgia"/>
          <w:sz w:val="22"/>
          <w:szCs w:val="22"/>
        </w:rPr>
        <w:t xml:space="preserve">  Nathan Smith Professor</w:t>
      </w:r>
      <w:r w:rsidR="006B63A4">
        <w:rPr>
          <w:rFonts w:ascii="Georgia" w:hAnsi="Georgia"/>
          <w:sz w:val="22"/>
          <w:szCs w:val="22"/>
        </w:rPr>
        <w:t xml:space="preserve"> of Genetics</w:t>
      </w:r>
      <w:r w:rsidR="00B07022" w:rsidRPr="00B07022">
        <w:rPr>
          <w:rFonts w:ascii="Georgia" w:hAnsi="Georgia"/>
          <w:sz w:val="22"/>
          <w:szCs w:val="22"/>
        </w:rPr>
        <w:t xml:space="preserve"> and Chairman of </w:t>
      </w:r>
      <w:r w:rsidR="003F1CDD">
        <w:rPr>
          <w:rFonts w:ascii="Georgia" w:hAnsi="Georgia"/>
          <w:sz w:val="22"/>
          <w:szCs w:val="22"/>
        </w:rPr>
        <w:t>Molecular</w:t>
      </w:r>
      <w:r w:rsidR="006B63A4">
        <w:rPr>
          <w:rFonts w:ascii="Georgia" w:hAnsi="Georgia"/>
          <w:sz w:val="22"/>
          <w:szCs w:val="22"/>
        </w:rPr>
        <w:t xml:space="preserve"> &amp; Systems Biology</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74" w:type="dxa"/>
        <w:tblBorders>
          <w:left w:val="none" w:sz="0" w:space="0" w:color="auto"/>
          <w:bottom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84"/>
        <w:gridCol w:w="1445"/>
        <w:gridCol w:w="1445"/>
        <w:gridCol w:w="2600"/>
      </w:tblGrid>
      <w:tr w:rsidR="00B07022" w:rsidRPr="00D3779E" w14:paraId="75C3BE24" w14:textId="77777777" w:rsidTr="00B07022">
        <w:trPr>
          <w:cantSplit/>
          <w:trHeight w:val="818"/>
          <w:tblHeader/>
        </w:trPr>
        <w:tc>
          <w:tcPr>
            <w:tcW w:w="5384" w:type="dxa"/>
            <w:tcBorders>
              <w:top w:val="single" w:sz="4" w:space="0" w:color="auto"/>
              <w:bottom w:val="single" w:sz="4" w:space="0" w:color="auto"/>
            </w:tcBorders>
            <w:vAlign w:val="center"/>
          </w:tcPr>
          <w:p w14:paraId="468D77A5" w14:textId="77777777" w:rsidR="0059346D" w:rsidRPr="00D3779E" w:rsidRDefault="0059346D" w:rsidP="004A10D0">
            <w:pPr>
              <w:pStyle w:val="FormFieldCaption"/>
              <w:jc w:val="center"/>
              <w:rPr>
                <w:sz w:val="22"/>
              </w:rPr>
            </w:pPr>
            <w:r w:rsidRPr="00D3779E">
              <w:rPr>
                <w:sz w:val="22"/>
              </w:rPr>
              <w:t>INSTITUTION AND LOCATION</w:t>
            </w:r>
          </w:p>
        </w:tc>
        <w:tc>
          <w:tcPr>
            <w:tcW w:w="1445" w:type="dxa"/>
            <w:tcBorders>
              <w:top w:val="single" w:sz="4" w:space="0" w:color="auto"/>
              <w:bottom w:val="single" w:sz="4" w:space="0" w:color="auto"/>
            </w:tcBorders>
            <w:vAlign w:val="center"/>
          </w:tcPr>
          <w:p w14:paraId="3C33CCAF" w14:textId="77777777" w:rsidR="0059346D" w:rsidRPr="00D3779E" w:rsidRDefault="0059346D" w:rsidP="004A10D0">
            <w:pPr>
              <w:pStyle w:val="FormFieldCaption"/>
              <w:jc w:val="center"/>
              <w:rPr>
                <w:sz w:val="22"/>
              </w:rPr>
            </w:pPr>
            <w:r w:rsidRPr="00D3779E">
              <w:rPr>
                <w:sz w:val="22"/>
              </w:rPr>
              <w:t>DEGREE</w:t>
            </w:r>
          </w:p>
          <w:p w14:paraId="2A4023F3" w14:textId="77777777" w:rsidR="0059346D" w:rsidRPr="00D3779E" w:rsidRDefault="0059346D" w:rsidP="004A10D0">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4A10D0">
            <w:pPr>
              <w:pStyle w:val="FormFieldCaption"/>
              <w:rPr>
                <w:sz w:val="22"/>
              </w:rPr>
            </w:pPr>
          </w:p>
        </w:tc>
        <w:tc>
          <w:tcPr>
            <w:tcW w:w="1445" w:type="dxa"/>
            <w:tcBorders>
              <w:top w:val="single" w:sz="4" w:space="0" w:color="auto"/>
              <w:bottom w:val="single" w:sz="4" w:space="0" w:color="auto"/>
            </w:tcBorders>
            <w:vAlign w:val="center"/>
          </w:tcPr>
          <w:p w14:paraId="6F3BBFD4" w14:textId="77777777" w:rsidR="0059346D" w:rsidRPr="00D3779E" w:rsidRDefault="0059346D" w:rsidP="004A10D0">
            <w:pPr>
              <w:pStyle w:val="FormFieldCaption"/>
              <w:jc w:val="center"/>
              <w:rPr>
                <w:sz w:val="22"/>
              </w:rPr>
            </w:pPr>
            <w:r w:rsidRPr="00D3779E">
              <w:rPr>
                <w:sz w:val="22"/>
              </w:rPr>
              <w:t>Completion Date</w:t>
            </w:r>
          </w:p>
          <w:p w14:paraId="623B09A5" w14:textId="77777777" w:rsidR="0059346D" w:rsidRPr="00D3779E" w:rsidRDefault="0059346D" w:rsidP="004A10D0">
            <w:pPr>
              <w:pStyle w:val="FormFieldCaption"/>
              <w:jc w:val="center"/>
              <w:rPr>
                <w:sz w:val="22"/>
              </w:rPr>
            </w:pPr>
            <w:r w:rsidRPr="00D3779E">
              <w:rPr>
                <w:sz w:val="22"/>
              </w:rPr>
              <w:t>MM/YYYY</w:t>
            </w:r>
          </w:p>
          <w:p w14:paraId="0DEDF2DC" w14:textId="77777777" w:rsidR="0059346D" w:rsidRPr="00D3779E" w:rsidRDefault="0059346D" w:rsidP="004A10D0">
            <w:pPr>
              <w:pStyle w:val="FormFieldCaption"/>
              <w:rPr>
                <w:sz w:val="22"/>
              </w:rPr>
            </w:pPr>
          </w:p>
        </w:tc>
        <w:tc>
          <w:tcPr>
            <w:tcW w:w="2600" w:type="dxa"/>
            <w:tcBorders>
              <w:top w:val="single" w:sz="4" w:space="0" w:color="auto"/>
              <w:bottom w:val="single" w:sz="4" w:space="0" w:color="auto"/>
            </w:tcBorders>
            <w:vAlign w:val="center"/>
          </w:tcPr>
          <w:p w14:paraId="7C8A9552" w14:textId="77777777" w:rsidR="0059346D" w:rsidRPr="00D3779E" w:rsidRDefault="0059346D" w:rsidP="004A10D0">
            <w:pPr>
              <w:pStyle w:val="FormFieldCaption"/>
              <w:jc w:val="center"/>
              <w:rPr>
                <w:sz w:val="22"/>
              </w:rPr>
            </w:pPr>
            <w:r w:rsidRPr="00D3779E">
              <w:rPr>
                <w:sz w:val="22"/>
              </w:rPr>
              <w:t>FIELD OF STUDY</w:t>
            </w:r>
          </w:p>
          <w:p w14:paraId="6B8F5BDB" w14:textId="77777777" w:rsidR="0059346D" w:rsidRPr="00D3779E" w:rsidRDefault="0059346D" w:rsidP="004A10D0">
            <w:pPr>
              <w:pStyle w:val="FormFieldCaption"/>
              <w:rPr>
                <w:sz w:val="22"/>
              </w:rPr>
            </w:pPr>
          </w:p>
        </w:tc>
      </w:tr>
      <w:tr w:rsidR="00B07022" w:rsidRPr="00D3779E" w14:paraId="53F31038" w14:textId="77777777" w:rsidTr="00B07022">
        <w:trPr>
          <w:cantSplit/>
          <w:trHeight w:val="199"/>
        </w:trPr>
        <w:tc>
          <w:tcPr>
            <w:tcW w:w="5384" w:type="dxa"/>
            <w:tcBorders>
              <w:top w:val="single" w:sz="4" w:space="0" w:color="auto"/>
            </w:tcBorders>
          </w:tcPr>
          <w:p w14:paraId="71626655" w14:textId="35E23C26" w:rsidR="00B07022" w:rsidRPr="00977FA5" w:rsidRDefault="00B07022" w:rsidP="000A3D38">
            <w:pPr>
              <w:pStyle w:val="FormFieldCaption"/>
              <w:spacing w:before="20" w:after="20"/>
              <w:rPr>
                <w:sz w:val="22"/>
                <w:szCs w:val="22"/>
              </w:rPr>
            </w:pPr>
            <w:r w:rsidRPr="004A63B1">
              <w:rPr>
                <w:rFonts w:ascii="Georgia" w:hAnsi="Georgia"/>
                <w:sz w:val="22"/>
              </w:rPr>
              <w:t>University of Washington, Seattle, WA</w:t>
            </w:r>
          </w:p>
        </w:tc>
        <w:tc>
          <w:tcPr>
            <w:tcW w:w="1445" w:type="dxa"/>
            <w:tcBorders>
              <w:top w:val="single" w:sz="4" w:space="0" w:color="auto"/>
            </w:tcBorders>
          </w:tcPr>
          <w:p w14:paraId="66FCC370" w14:textId="3D7EF819" w:rsidR="00B07022" w:rsidRPr="00977FA5" w:rsidRDefault="00B07022" w:rsidP="003E0CB3">
            <w:pPr>
              <w:pStyle w:val="FormFieldCaption"/>
              <w:spacing w:before="20" w:after="20"/>
              <w:jc w:val="center"/>
              <w:rPr>
                <w:sz w:val="22"/>
                <w:szCs w:val="22"/>
              </w:rPr>
            </w:pPr>
            <w:r w:rsidRPr="004A63B1">
              <w:rPr>
                <w:rFonts w:ascii="Georgia" w:hAnsi="Georgia"/>
                <w:sz w:val="22"/>
              </w:rPr>
              <w:t>BS &amp; BS</w:t>
            </w:r>
          </w:p>
        </w:tc>
        <w:tc>
          <w:tcPr>
            <w:tcW w:w="1445" w:type="dxa"/>
            <w:tcBorders>
              <w:top w:val="single" w:sz="4" w:space="0" w:color="auto"/>
            </w:tcBorders>
          </w:tcPr>
          <w:p w14:paraId="09E28392" w14:textId="07DE6659" w:rsidR="00B07022" w:rsidRPr="00977FA5" w:rsidRDefault="00B07022" w:rsidP="003E0CB3">
            <w:pPr>
              <w:pStyle w:val="FormFieldCaption"/>
              <w:spacing w:before="20" w:after="20"/>
              <w:jc w:val="center"/>
              <w:rPr>
                <w:sz w:val="22"/>
                <w:szCs w:val="22"/>
              </w:rPr>
            </w:pPr>
            <w:r w:rsidRPr="004A63B1">
              <w:rPr>
                <w:rFonts w:ascii="Georgia" w:hAnsi="Georgia"/>
                <w:sz w:val="22"/>
              </w:rPr>
              <w:t>1974</w:t>
            </w:r>
          </w:p>
        </w:tc>
        <w:tc>
          <w:tcPr>
            <w:tcW w:w="2600" w:type="dxa"/>
            <w:tcBorders>
              <w:top w:val="single" w:sz="4" w:space="0" w:color="auto"/>
            </w:tcBorders>
          </w:tcPr>
          <w:p w14:paraId="51DE3062" w14:textId="4F08CAA3" w:rsidR="00B07022" w:rsidRPr="00977FA5" w:rsidRDefault="00B07022" w:rsidP="000A3D38">
            <w:pPr>
              <w:pStyle w:val="FormFieldCaption"/>
              <w:spacing w:before="20" w:after="20"/>
              <w:rPr>
                <w:sz w:val="22"/>
                <w:szCs w:val="22"/>
              </w:rPr>
            </w:pPr>
            <w:r w:rsidRPr="00AE1DEF">
              <w:rPr>
                <w:rFonts w:ascii="Georgia" w:hAnsi="Georgia"/>
                <w:sz w:val="20"/>
              </w:rPr>
              <w:t>Chemistry/Oceanography</w:t>
            </w:r>
          </w:p>
        </w:tc>
      </w:tr>
      <w:tr w:rsidR="00B07022" w:rsidRPr="00D3779E" w14:paraId="39B9522D" w14:textId="77777777" w:rsidTr="00B07022">
        <w:trPr>
          <w:cantSplit/>
          <w:trHeight w:val="199"/>
        </w:trPr>
        <w:tc>
          <w:tcPr>
            <w:tcW w:w="5384" w:type="dxa"/>
          </w:tcPr>
          <w:p w14:paraId="2EC20E69" w14:textId="432A3C38" w:rsidR="00B07022" w:rsidRPr="00977FA5" w:rsidRDefault="00B07022" w:rsidP="000A3D38">
            <w:pPr>
              <w:pStyle w:val="FormFieldCaption"/>
              <w:spacing w:before="20" w:after="20"/>
              <w:rPr>
                <w:sz w:val="22"/>
                <w:szCs w:val="22"/>
              </w:rPr>
            </w:pPr>
            <w:r w:rsidRPr="004A63B1">
              <w:rPr>
                <w:rFonts w:ascii="Georgia" w:hAnsi="Georgia"/>
                <w:sz w:val="22"/>
              </w:rPr>
              <w:t>Harvard University, Cambridge, MA</w:t>
            </w:r>
          </w:p>
        </w:tc>
        <w:tc>
          <w:tcPr>
            <w:tcW w:w="1445" w:type="dxa"/>
          </w:tcPr>
          <w:p w14:paraId="65AF925B" w14:textId="4B00A83B" w:rsidR="00B07022" w:rsidRPr="00977FA5" w:rsidRDefault="00B07022" w:rsidP="003E0CB3">
            <w:pPr>
              <w:pStyle w:val="FormFieldCaption"/>
              <w:spacing w:before="20" w:after="20"/>
              <w:jc w:val="center"/>
              <w:rPr>
                <w:sz w:val="22"/>
                <w:szCs w:val="22"/>
              </w:rPr>
            </w:pPr>
            <w:r w:rsidRPr="004A63B1">
              <w:rPr>
                <w:rFonts w:ascii="Georgia" w:hAnsi="Georgia"/>
                <w:sz w:val="22"/>
              </w:rPr>
              <w:t>AM</w:t>
            </w:r>
          </w:p>
        </w:tc>
        <w:tc>
          <w:tcPr>
            <w:tcW w:w="1445" w:type="dxa"/>
          </w:tcPr>
          <w:p w14:paraId="1B8EA073" w14:textId="7A092165" w:rsidR="00B07022" w:rsidRPr="00977FA5" w:rsidRDefault="00B07022" w:rsidP="003E0CB3">
            <w:pPr>
              <w:pStyle w:val="FormFieldCaption"/>
              <w:spacing w:before="20" w:after="20"/>
              <w:jc w:val="center"/>
              <w:rPr>
                <w:sz w:val="22"/>
                <w:szCs w:val="22"/>
              </w:rPr>
            </w:pPr>
            <w:r w:rsidRPr="004A63B1">
              <w:rPr>
                <w:rFonts w:ascii="Georgia" w:hAnsi="Georgia"/>
                <w:sz w:val="22"/>
              </w:rPr>
              <w:t>1975</w:t>
            </w:r>
          </w:p>
        </w:tc>
        <w:tc>
          <w:tcPr>
            <w:tcW w:w="2600" w:type="dxa"/>
          </w:tcPr>
          <w:p w14:paraId="49AE2B20" w14:textId="1F52A157" w:rsidR="00B07022" w:rsidRPr="00977FA5" w:rsidRDefault="00B07022" w:rsidP="000A3D38">
            <w:pPr>
              <w:pStyle w:val="FormFieldCaption"/>
              <w:spacing w:before="20" w:after="20"/>
              <w:rPr>
                <w:sz w:val="22"/>
                <w:szCs w:val="22"/>
              </w:rPr>
            </w:pPr>
            <w:r w:rsidRPr="004A63B1">
              <w:rPr>
                <w:rFonts w:ascii="Georgia" w:hAnsi="Georgia"/>
                <w:sz w:val="22"/>
              </w:rPr>
              <w:t>Biology</w:t>
            </w:r>
          </w:p>
        </w:tc>
      </w:tr>
      <w:tr w:rsidR="00B07022" w:rsidRPr="00D3779E" w14:paraId="5D238F0D" w14:textId="77777777" w:rsidTr="00B07022">
        <w:trPr>
          <w:cantSplit/>
          <w:trHeight w:val="199"/>
        </w:trPr>
        <w:tc>
          <w:tcPr>
            <w:tcW w:w="5384" w:type="dxa"/>
          </w:tcPr>
          <w:p w14:paraId="1592633D" w14:textId="465515F2" w:rsidR="00B07022" w:rsidRPr="00977FA5" w:rsidRDefault="00B07022" w:rsidP="000A3D38">
            <w:pPr>
              <w:pStyle w:val="FormFieldCaption"/>
              <w:spacing w:before="20" w:after="20"/>
              <w:rPr>
                <w:sz w:val="22"/>
                <w:szCs w:val="22"/>
              </w:rPr>
            </w:pPr>
            <w:r w:rsidRPr="004A63B1">
              <w:rPr>
                <w:rFonts w:ascii="Georgia" w:hAnsi="Georgia"/>
                <w:sz w:val="22"/>
              </w:rPr>
              <w:t>Harvard University, Cambridge, MA</w:t>
            </w:r>
          </w:p>
        </w:tc>
        <w:tc>
          <w:tcPr>
            <w:tcW w:w="1445" w:type="dxa"/>
          </w:tcPr>
          <w:p w14:paraId="2BF5DB4D" w14:textId="7342C568" w:rsidR="00B07022" w:rsidRPr="00977FA5" w:rsidRDefault="00B07022" w:rsidP="003E0CB3">
            <w:pPr>
              <w:pStyle w:val="FormFieldCaption"/>
              <w:spacing w:before="20" w:after="20"/>
              <w:jc w:val="center"/>
              <w:rPr>
                <w:sz w:val="22"/>
                <w:szCs w:val="22"/>
              </w:rPr>
            </w:pPr>
            <w:r w:rsidRPr="004A63B1">
              <w:rPr>
                <w:rFonts w:ascii="Georgia" w:hAnsi="Georgia"/>
                <w:sz w:val="22"/>
              </w:rPr>
              <w:t>PhD</w:t>
            </w:r>
          </w:p>
        </w:tc>
        <w:tc>
          <w:tcPr>
            <w:tcW w:w="1445" w:type="dxa"/>
          </w:tcPr>
          <w:p w14:paraId="11EADF09" w14:textId="4B532151" w:rsidR="00B07022" w:rsidRPr="00977FA5" w:rsidRDefault="00B07022" w:rsidP="003E0CB3">
            <w:pPr>
              <w:pStyle w:val="FormFieldCaption"/>
              <w:spacing w:before="20" w:after="20"/>
              <w:jc w:val="center"/>
              <w:rPr>
                <w:sz w:val="22"/>
                <w:szCs w:val="22"/>
              </w:rPr>
            </w:pPr>
            <w:r w:rsidRPr="004A63B1">
              <w:rPr>
                <w:rFonts w:ascii="Georgia" w:hAnsi="Georgia"/>
                <w:sz w:val="22"/>
              </w:rPr>
              <w:t>1979</w:t>
            </w:r>
          </w:p>
        </w:tc>
        <w:tc>
          <w:tcPr>
            <w:tcW w:w="2600" w:type="dxa"/>
          </w:tcPr>
          <w:p w14:paraId="7A7B0960" w14:textId="40043D14" w:rsidR="00B07022" w:rsidRPr="00977FA5" w:rsidRDefault="00B07022" w:rsidP="000A3D38">
            <w:pPr>
              <w:pStyle w:val="FormFieldCaption"/>
              <w:spacing w:before="20" w:after="20"/>
              <w:rPr>
                <w:sz w:val="22"/>
                <w:szCs w:val="22"/>
              </w:rPr>
            </w:pPr>
            <w:r w:rsidRPr="004A63B1">
              <w:rPr>
                <w:rFonts w:ascii="Georgia" w:hAnsi="Georgia"/>
                <w:sz w:val="22"/>
              </w:rPr>
              <w:t>Biology</w:t>
            </w:r>
          </w:p>
        </w:tc>
      </w:tr>
      <w:tr w:rsidR="00B07022" w:rsidRPr="00D3779E" w14:paraId="299ACC24" w14:textId="77777777" w:rsidTr="00B07022">
        <w:trPr>
          <w:cantSplit/>
          <w:trHeight w:val="199"/>
        </w:trPr>
        <w:tc>
          <w:tcPr>
            <w:tcW w:w="5384" w:type="dxa"/>
          </w:tcPr>
          <w:p w14:paraId="3833C435" w14:textId="4937CA71" w:rsidR="00B07022" w:rsidRPr="00977FA5" w:rsidRDefault="00B07022" w:rsidP="000A3D38">
            <w:pPr>
              <w:pStyle w:val="FormFieldCaption"/>
              <w:spacing w:before="20" w:after="20"/>
              <w:rPr>
                <w:sz w:val="22"/>
                <w:szCs w:val="22"/>
              </w:rPr>
            </w:pPr>
            <w:r w:rsidRPr="004A63B1">
              <w:rPr>
                <w:rFonts w:ascii="Georgia" w:hAnsi="Georgia"/>
                <w:sz w:val="22"/>
              </w:rPr>
              <w:t>University of California, Santa Cruz</w:t>
            </w:r>
          </w:p>
        </w:tc>
        <w:tc>
          <w:tcPr>
            <w:tcW w:w="1445" w:type="dxa"/>
          </w:tcPr>
          <w:p w14:paraId="34FB00F8" w14:textId="639C2F26" w:rsidR="00B07022" w:rsidRPr="00977FA5" w:rsidRDefault="00B07022" w:rsidP="003E0CB3">
            <w:pPr>
              <w:pStyle w:val="FormFieldCaption"/>
              <w:spacing w:before="20" w:after="20"/>
              <w:jc w:val="center"/>
              <w:rPr>
                <w:sz w:val="22"/>
                <w:szCs w:val="22"/>
              </w:rPr>
            </w:pPr>
            <w:r w:rsidRPr="004A63B1">
              <w:rPr>
                <w:rFonts w:ascii="Georgia" w:hAnsi="Georgia"/>
                <w:sz w:val="22"/>
              </w:rPr>
              <w:t>PPhD</w:t>
            </w:r>
          </w:p>
        </w:tc>
        <w:tc>
          <w:tcPr>
            <w:tcW w:w="1445" w:type="dxa"/>
          </w:tcPr>
          <w:p w14:paraId="1C60EA29" w14:textId="4F32038E" w:rsidR="00B07022" w:rsidRPr="00977FA5" w:rsidRDefault="00B07022" w:rsidP="003E0CB3">
            <w:pPr>
              <w:pStyle w:val="FormFieldCaption"/>
              <w:spacing w:before="20" w:after="20"/>
              <w:jc w:val="center"/>
              <w:rPr>
                <w:sz w:val="22"/>
                <w:szCs w:val="22"/>
              </w:rPr>
            </w:pPr>
            <w:r w:rsidRPr="004A63B1">
              <w:rPr>
                <w:rFonts w:ascii="Georgia" w:hAnsi="Georgia"/>
                <w:sz w:val="22"/>
              </w:rPr>
              <w:t>1979-1983</w:t>
            </w:r>
          </w:p>
        </w:tc>
        <w:tc>
          <w:tcPr>
            <w:tcW w:w="2600" w:type="dxa"/>
          </w:tcPr>
          <w:p w14:paraId="4D03E5FC" w14:textId="7DA80420" w:rsidR="00B07022" w:rsidRPr="00977FA5" w:rsidRDefault="00B07022" w:rsidP="000A3D38">
            <w:pPr>
              <w:pStyle w:val="FormFieldCaption"/>
              <w:spacing w:before="20" w:after="20"/>
              <w:rPr>
                <w:sz w:val="22"/>
                <w:szCs w:val="22"/>
              </w:rPr>
            </w:pPr>
            <w:r w:rsidRPr="004A63B1">
              <w:rPr>
                <w:rFonts w:ascii="Georgia" w:hAnsi="Georgia"/>
                <w:sz w:val="22"/>
              </w:rPr>
              <w:t>Genetics</w:t>
            </w:r>
          </w:p>
        </w:tc>
      </w:tr>
    </w:tbl>
    <w:p w14:paraId="4DF5C4C2" w14:textId="77777777" w:rsidR="00E67A05" w:rsidRPr="00D825A1" w:rsidRDefault="00E67A05" w:rsidP="00D825A1">
      <w:pPr>
        <w:pStyle w:val="Heading1"/>
      </w:pPr>
      <w:r w:rsidRPr="00D825A1">
        <w:t>A.</w:t>
      </w:r>
      <w:r w:rsidRPr="00D825A1">
        <w:tab/>
        <w:t>Personal Statement</w:t>
      </w:r>
    </w:p>
    <w:p w14:paraId="55566EA4" w14:textId="77777777" w:rsidR="00B07022" w:rsidRPr="00B07022" w:rsidRDefault="00B07022" w:rsidP="00B07022">
      <w:pPr>
        <w:ind w:firstLine="180"/>
      </w:pPr>
      <w:r w:rsidRPr="00B07022">
        <w:t>My research has focused on understanding the molecular basis of circadian rhythms in the model system Neurospora, and more recently on translating insights gained from Neurospora into understanding mammalian circadian clocks. Because entrainment of rhythms is so closely tied to photobiology, I have also been drawn into studying the molecular bases of photoreception in fungi. Most recently as one of the largest labs working on filamentous fungi we have led efforts to develop functional genetic and genomic tools to exploit these organisms.  The circadian system is one of the overarching physiological control mechanisms in humans and, in fact, in nearly all eukaryotes.  Dysfunction in the circadian system lies at the basis of some sleep and psychiatric disorders as well as a variety of metabolic disorders.</w:t>
      </w:r>
    </w:p>
    <w:p w14:paraId="4DF5C4C3" w14:textId="044BEAF6" w:rsidR="00E67A05" w:rsidRPr="00E73447" w:rsidRDefault="003C3E83" w:rsidP="00BD126F">
      <w:pPr>
        <w:ind w:firstLine="180"/>
      </w:pPr>
      <w:r>
        <w:t xml:space="preserve">I benefitted enormously from mentoring as a junior scientist and have tried to pass this forward.  </w:t>
      </w:r>
      <w:r w:rsidR="00B07022" w:rsidRPr="00B07022">
        <w:t xml:space="preserve">Over the years I have trained a number of </w:t>
      </w:r>
      <w:r w:rsidR="001B1466">
        <w:t xml:space="preserve">undergraduate and </w:t>
      </w:r>
      <w:r w:rsidR="00B07022" w:rsidRPr="00B07022">
        <w:t>graduate students and 33 postdoctoral fellows, 1</w:t>
      </w:r>
      <w:r w:rsidR="001B1466">
        <w:t>9</w:t>
      </w:r>
      <w:r w:rsidR="00B07022" w:rsidRPr="00B07022">
        <w:t xml:space="preserve"> of whom presently hold positions at academic institutions at levels ranging from assistant professor to department chair.</w:t>
      </w:r>
      <w:r w:rsidR="001B1466">
        <w:t xml:space="preserve">  Outside of my lab, in my capacity as chairman and also as a more senior scientist in my fleld</w:t>
      </w:r>
      <w:r>
        <w:t>s</w:t>
      </w:r>
      <w:r w:rsidR="001B1466">
        <w:t xml:space="preserve">, I have helped to mentor more than a dozen </w:t>
      </w:r>
      <w:r w:rsidR="009341D6">
        <w:t>scientists junior to me</w:t>
      </w:r>
      <w:r w:rsidR="001B1466">
        <w:t xml:space="preserve"> including several </w:t>
      </w:r>
      <w:r w:rsidR="009341D6">
        <w:t xml:space="preserve">now </w:t>
      </w:r>
      <w:r w:rsidR="001B1466">
        <w:t>in junior faculty positions, two from my department who have gone off to become department chairs</w:t>
      </w:r>
      <w:r>
        <w:t>,</w:t>
      </w:r>
      <w:r w:rsidR="001B1466">
        <w:t xml:space="preserve"> and one who was elected to the National Academy.</w:t>
      </w:r>
    </w:p>
    <w:p w14:paraId="4DF5C4C4" w14:textId="77777777" w:rsidR="00E67A05" w:rsidRPr="00D825A1" w:rsidRDefault="00E67A05" w:rsidP="00D825A1">
      <w:pPr>
        <w:pStyle w:val="Heading1"/>
      </w:pPr>
      <w:r w:rsidRPr="00D825A1">
        <w:t>B.</w:t>
      </w:r>
      <w:r w:rsidRPr="00D825A1">
        <w:tab/>
        <w:t>Positions and Honors</w:t>
      </w:r>
    </w:p>
    <w:p w14:paraId="2A56035A" w14:textId="77777777" w:rsidR="00B07022" w:rsidRPr="00B07022" w:rsidRDefault="00B07022" w:rsidP="00B07022">
      <w:pPr>
        <w:pStyle w:val="Heading4"/>
        <w:rPr>
          <w:rFonts w:ascii="Arial" w:hAnsi="Arial" w:cs="Arial"/>
          <w:i w:val="0"/>
          <w:color w:val="auto"/>
          <w:szCs w:val="22"/>
          <w:u w:val="single"/>
        </w:rPr>
      </w:pPr>
      <w:r w:rsidRPr="00B07022">
        <w:rPr>
          <w:rFonts w:ascii="Arial" w:hAnsi="Arial" w:cs="Arial"/>
          <w:i w:val="0"/>
          <w:color w:val="auto"/>
          <w:szCs w:val="22"/>
          <w:u w:val="single"/>
        </w:rPr>
        <w:t>Positions and Employment</w:t>
      </w:r>
    </w:p>
    <w:p w14:paraId="40CB4AEB" w14:textId="77777777" w:rsidR="00B07022" w:rsidRPr="00B07022" w:rsidRDefault="00B07022" w:rsidP="00B07022">
      <w:pPr>
        <w:widowControl w:val="0"/>
        <w:ind w:left="1800" w:hanging="1800"/>
        <w:rPr>
          <w:rFonts w:cs="Arial"/>
          <w:szCs w:val="22"/>
        </w:rPr>
      </w:pPr>
      <w:r w:rsidRPr="00B07022">
        <w:rPr>
          <w:rFonts w:cs="Arial"/>
          <w:szCs w:val="22"/>
        </w:rPr>
        <w:t xml:space="preserve">1984 - 1989 </w:t>
      </w:r>
      <w:r w:rsidRPr="00B07022">
        <w:rPr>
          <w:rFonts w:cs="Arial"/>
          <w:szCs w:val="22"/>
        </w:rPr>
        <w:tab/>
        <w:t xml:space="preserve">Assistant Professor of Biochemistry, Dartmouth Medical School </w:t>
      </w:r>
    </w:p>
    <w:p w14:paraId="5205EE30" w14:textId="77777777" w:rsidR="00B07022" w:rsidRPr="00B07022" w:rsidRDefault="00B07022" w:rsidP="00B07022">
      <w:pPr>
        <w:widowControl w:val="0"/>
        <w:ind w:left="1800" w:hanging="1800"/>
        <w:rPr>
          <w:rFonts w:cs="Arial"/>
          <w:szCs w:val="22"/>
        </w:rPr>
      </w:pPr>
      <w:r w:rsidRPr="00B07022">
        <w:rPr>
          <w:rFonts w:cs="Arial"/>
          <w:szCs w:val="22"/>
        </w:rPr>
        <w:t>1990 - 1994</w:t>
      </w:r>
      <w:r w:rsidRPr="00B07022">
        <w:rPr>
          <w:rFonts w:cs="Arial"/>
          <w:szCs w:val="22"/>
        </w:rPr>
        <w:tab/>
        <w:t>Associate Professor of Biochemistry, Dartmouth Medical School</w:t>
      </w:r>
    </w:p>
    <w:p w14:paraId="488F98F4" w14:textId="77777777" w:rsidR="00B07022" w:rsidRPr="00B07022" w:rsidRDefault="00B07022" w:rsidP="00B07022">
      <w:pPr>
        <w:widowControl w:val="0"/>
        <w:ind w:left="1800" w:hanging="1800"/>
        <w:rPr>
          <w:rFonts w:cs="Arial"/>
          <w:szCs w:val="22"/>
        </w:rPr>
      </w:pPr>
      <w:r w:rsidRPr="00B07022">
        <w:rPr>
          <w:rFonts w:cs="Arial"/>
          <w:szCs w:val="22"/>
        </w:rPr>
        <w:t>1994 - 1999</w:t>
      </w:r>
      <w:r w:rsidRPr="00B07022">
        <w:rPr>
          <w:rFonts w:cs="Arial"/>
          <w:szCs w:val="22"/>
        </w:rPr>
        <w:tab/>
        <w:t>Professor of Biochemistry, Dartmouth Medical School</w:t>
      </w:r>
    </w:p>
    <w:p w14:paraId="47EBA999" w14:textId="06843396" w:rsidR="00B07022" w:rsidRDefault="00B07022" w:rsidP="00B07022">
      <w:pPr>
        <w:ind w:left="1800" w:right="198" w:hanging="1800"/>
        <w:jc w:val="both"/>
        <w:rPr>
          <w:rFonts w:cs="Arial"/>
          <w:szCs w:val="22"/>
        </w:rPr>
      </w:pPr>
      <w:r w:rsidRPr="00B07022">
        <w:rPr>
          <w:rFonts w:cs="Arial"/>
          <w:szCs w:val="22"/>
        </w:rPr>
        <w:t xml:space="preserve">1999 - </w:t>
      </w:r>
      <w:r w:rsidR="00A17838">
        <w:rPr>
          <w:rFonts w:cs="Arial"/>
          <w:szCs w:val="22"/>
        </w:rPr>
        <w:t>2016</w:t>
      </w:r>
      <w:r w:rsidRPr="00B07022">
        <w:rPr>
          <w:rFonts w:cs="Arial"/>
          <w:szCs w:val="22"/>
        </w:rPr>
        <w:tab/>
        <w:t xml:space="preserve">Professor and </w:t>
      </w:r>
      <w:r w:rsidR="00B43BDB">
        <w:rPr>
          <w:rFonts w:cs="Arial"/>
          <w:szCs w:val="22"/>
        </w:rPr>
        <w:t xml:space="preserve">Inaugural </w:t>
      </w:r>
      <w:r w:rsidRPr="00B07022">
        <w:rPr>
          <w:rFonts w:cs="Arial"/>
          <w:szCs w:val="22"/>
        </w:rPr>
        <w:t>Chair, Dep</w:t>
      </w:r>
      <w:r w:rsidR="00B43BDB">
        <w:rPr>
          <w:rFonts w:cs="Arial"/>
          <w:szCs w:val="22"/>
        </w:rPr>
        <w:t>t.</w:t>
      </w:r>
      <w:r w:rsidRPr="00B07022">
        <w:rPr>
          <w:rFonts w:cs="Arial"/>
          <w:szCs w:val="22"/>
        </w:rPr>
        <w:t xml:space="preserve"> Genetics, </w:t>
      </w:r>
      <w:r w:rsidR="00B43BDB">
        <w:rPr>
          <w:rFonts w:cs="Arial"/>
          <w:szCs w:val="22"/>
        </w:rPr>
        <w:t xml:space="preserve">Geisel School of Medicine at </w:t>
      </w:r>
      <w:r w:rsidRPr="00B07022">
        <w:rPr>
          <w:rFonts w:cs="Arial"/>
          <w:szCs w:val="22"/>
        </w:rPr>
        <w:t>Dartmouth</w:t>
      </w:r>
    </w:p>
    <w:p w14:paraId="36D62E12" w14:textId="77777777" w:rsidR="00B07022" w:rsidRPr="00B07022" w:rsidRDefault="00B07022" w:rsidP="00B07022">
      <w:pPr>
        <w:ind w:left="1800" w:right="198" w:hanging="1800"/>
        <w:jc w:val="both"/>
        <w:rPr>
          <w:rFonts w:cs="Arial"/>
          <w:szCs w:val="22"/>
        </w:rPr>
      </w:pPr>
      <w:r w:rsidRPr="00B07022">
        <w:rPr>
          <w:rFonts w:cs="Arial"/>
          <w:szCs w:val="22"/>
        </w:rPr>
        <w:t xml:space="preserve">2010 </w:t>
      </w:r>
      <w:r w:rsidRPr="00B07022">
        <w:rPr>
          <w:rFonts w:cs="Arial"/>
          <w:szCs w:val="22"/>
        </w:rPr>
        <w:tab/>
        <w:t>named Nathan Smith Professor</w:t>
      </w:r>
      <w:r w:rsidRPr="00B07022">
        <w:rPr>
          <w:rFonts w:cs="Arial"/>
          <w:szCs w:val="22"/>
        </w:rPr>
        <w:tab/>
      </w:r>
    </w:p>
    <w:p w14:paraId="3CD72770" w14:textId="7F0D9C2F" w:rsidR="00A17838" w:rsidRPr="00B07022" w:rsidRDefault="00A17838" w:rsidP="00A17838">
      <w:pPr>
        <w:ind w:left="1800" w:right="198" w:hanging="1800"/>
        <w:jc w:val="both"/>
        <w:rPr>
          <w:rFonts w:cs="Arial"/>
          <w:szCs w:val="22"/>
        </w:rPr>
      </w:pPr>
      <w:r>
        <w:rPr>
          <w:rFonts w:cs="Arial"/>
          <w:szCs w:val="22"/>
        </w:rPr>
        <w:t>2016-</w:t>
      </w:r>
      <w:r>
        <w:rPr>
          <w:rFonts w:cs="Arial"/>
          <w:szCs w:val="22"/>
        </w:rPr>
        <w:tab/>
      </w:r>
      <w:r w:rsidRPr="00B07022">
        <w:rPr>
          <w:rFonts w:cs="Arial"/>
          <w:szCs w:val="22"/>
        </w:rPr>
        <w:t xml:space="preserve">Professor and </w:t>
      </w:r>
      <w:r>
        <w:rPr>
          <w:rFonts w:cs="Arial"/>
          <w:szCs w:val="22"/>
        </w:rPr>
        <w:t xml:space="preserve">Inaugural </w:t>
      </w:r>
      <w:r w:rsidRPr="00B07022">
        <w:rPr>
          <w:rFonts w:cs="Arial"/>
          <w:szCs w:val="22"/>
        </w:rPr>
        <w:t>Chair, Dep</w:t>
      </w:r>
      <w:r>
        <w:rPr>
          <w:rFonts w:cs="Arial"/>
          <w:szCs w:val="22"/>
        </w:rPr>
        <w:t>t.</w:t>
      </w:r>
      <w:r w:rsidRPr="00B07022">
        <w:rPr>
          <w:rFonts w:cs="Arial"/>
          <w:szCs w:val="22"/>
        </w:rPr>
        <w:t xml:space="preserve"> </w:t>
      </w:r>
      <w:r>
        <w:rPr>
          <w:rFonts w:cs="Arial"/>
          <w:szCs w:val="22"/>
        </w:rPr>
        <w:t>Molecular &amp; Systems Biology</w:t>
      </w:r>
      <w:r w:rsidRPr="00B07022">
        <w:rPr>
          <w:rFonts w:cs="Arial"/>
          <w:szCs w:val="22"/>
        </w:rPr>
        <w:t xml:space="preserve">, </w:t>
      </w:r>
      <w:r>
        <w:rPr>
          <w:rFonts w:cs="Arial"/>
          <w:szCs w:val="22"/>
        </w:rPr>
        <w:t xml:space="preserve">Geisel School of Medicine at </w:t>
      </w:r>
      <w:r w:rsidRPr="00B07022">
        <w:rPr>
          <w:rFonts w:cs="Arial"/>
          <w:szCs w:val="22"/>
        </w:rPr>
        <w:t>Dartmouth</w:t>
      </w:r>
      <w:r>
        <w:rPr>
          <w:rFonts w:cs="Arial"/>
          <w:szCs w:val="22"/>
        </w:rPr>
        <w:t xml:space="preserve"> </w:t>
      </w:r>
    </w:p>
    <w:p w14:paraId="51B23A0F" w14:textId="77777777" w:rsidR="00B07022" w:rsidRPr="00B07022" w:rsidRDefault="00B07022" w:rsidP="00B07022">
      <w:pPr>
        <w:tabs>
          <w:tab w:val="left" w:pos="1440"/>
          <w:tab w:val="left" w:pos="1800"/>
        </w:tabs>
        <w:jc w:val="both"/>
        <w:rPr>
          <w:rFonts w:cs="Arial"/>
          <w:b/>
          <w:szCs w:val="22"/>
          <w:u w:val="single"/>
        </w:rPr>
      </w:pPr>
    </w:p>
    <w:p w14:paraId="3D6A4344" w14:textId="77777777" w:rsidR="00B07022" w:rsidRDefault="00B07022" w:rsidP="00B07022">
      <w:pPr>
        <w:tabs>
          <w:tab w:val="left" w:pos="1440"/>
          <w:tab w:val="left" w:pos="1800"/>
        </w:tabs>
        <w:jc w:val="both"/>
        <w:rPr>
          <w:rFonts w:cs="Arial"/>
          <w:b/>
          <w:szCs w:val="22"/>
          <w:u w:val="single"/>
        </w:rPr>
      </w:pPr>
      <w:r w:rsidRPr="00B07022">
        <w:rPr>
          <w:rFonts w:cs="Arial"/>
          <w:b/>
          <w:szCs w:val="22"/>
          <w:u w:val="single"/>
        </w:rPr>
        <w:t>Other Experience and Professional Memberships</w:t>
      </w:r>
    </w:p>
    <w:p w14:paraId="231324AF" w14:textId="5A3C087F" w:rsidR="008C1D66" w:rsidRPr="008C1D66" w:rsidRDefault="008C1D66" w:rsidP="00D05EAA">
      <w:pPr>
        <w:tabs>
          <w:tab w:val="left" w:pos="1440"/>
          <w:tab w:val="left" w:pos="1800"/>
        </w:tabs>
        <w:ind w:left="720" w:hanging="720"/>
        <w:jc w:val="both"/>
        <w:rPr>
          <w:rFonts w:cs="Arial"/>
          <w:szCs w:val="22"/>
        </w:rPr>
      </w:pPr>
      <w:r w:rsidRPr="008C1D66">
        <w:rPr>
          <w:rFonts w:cs="Arial"/>
          <w:szCs w:val="22"/>
          <w:u w:val="single"/>
        </w:rPr>
        <w:t>Membership</w:t>
      </w:r>
      <w:r>
        <w:rPr>
          <w:rFonts w:cs="Arial"/>
          <w:szCs w:val="22"/>
          <w:u w:val="single"/>
        </w:rPr>
        <w:t>:</w:t>
      </w:r>
      <w:r>
        <w:rPr>
          <w:rFonts w:cs="Arial"/>
          <w:szCs w:val="22"/>
        </w:rPr>
        <w:t xml:space="preserve"> Genetic Society of America, American Society for Microbiology, American Society for Cell Biology. Society for Research on Biological Rhythms, AAAS</w:t>
      </w:r>
    </w:p>
    <w:p w14:paraId="30A35E2C" w14:textId="48C9E7DD" w:rsidR="00B07022" w:rsidRPr="00B07022" w:rsidRDefault="00B07022" w:rsidP="00D05EAA">
      <w:pPr>
        <w:widowControl w:val="0"/>
        <w:ind w:left="720" w:hanging="720"/>
        <w:rPr>
          <w:rFonts w:cs="Arial"/>
          <w:szCs w:val="22"/>
        </w:rPr>
      </w:pPr>
      <w:r w:rsidRPr="00B07022">
        <w:rPr>
          <w:rFonts w:cs="Arial"/>
          <w:szCs w:val="22"/>
          <w:u w:val="words"/>
        </w:rPr>
        <w:t xml:space="preserve">National Institutes of Health:  </w:t>
      </w:r>
      <w:r w:rsidRPr="00B07022">
        <w:rPr>
          <w:rFonts w:cs="Arial"/>
          <w:szCs w:val="22"/>
        </w:rPr>
        <w:t xml:space="preserve"> National Advisory Council for General Medical Sciences, 2000 – 2004, 2011; Board of Scientific Advisors, Lab. of Molecular and Cellular Regulation, NIMH Intramural Prog., 1999; </w:t>
      </w:r>
      <w:r w:rsidRPr="00B07022">
        <w:rPr>
          <w:rFonts w:cs="Arial"/>
          <w:szCs w:val="22"/>
        </w:rPr>
        <w:lastRenderedPageBreak/>
        <w:t xml:space="preserve">Microbial Genetics and Physiology Study Section; Ad Hoc reviews (Genetics, Microbial Genetics and Physiology, Special Study Sections on Circadian Rhythms and Sleep), ZRG1 NCF-D, EUREKA (2008), NIH Director's Pioneer Awards (2008, 2009; chair, 2011), NIH New Innovator 2012; NIGMS Select Committee for PSI Evaluation 2014; </w:t>
      </w:r>
      <w:r w:rsidR="009341D6">
        <w:rPr>
          <w:rFonts w:cs="Arial"/>
          <w:szCs w:val="22"/>
        </w:rPr>
        <w:t>NIGMS C</w:t>
      </w:r>
      <w:r w:rsidRPr="00B07022">
        <w:rPr>
          <w:rFonts w:cs="Arial"/>
          <w:szCs w:val="22"/>
        </w:rPr>
        <w:t>o-chair select committee to evaluate P50 Systems Biology Center program</w:t>
      </w:r>
      <w:r w:rsidR="009341D6">
        <w:rPr>
          <w:rFonts w:cs="Arial"/>
          <w:szCs w:val="22"/>
        </w:rPr>
        <w:t xml:space="preserve"> 2015</w:t>
      </w:r>
    </w:p>
    <w:p w14:paraId="066088FE" w14:textId="583660F7" w:rsidR="00B07022" w:rsidRPr="00B07022" w:rsidRDefault="00B07022" w:rsidP="00D05EAA">
      <w:pPr>
        <w:widowControl w:val="0"/>
        <w:ind w:left="720" w:hanging="720"/>
        <w:rPr>
          <w:rFonts w:cs="Arial"/>
          <w:szCs w:val="22"/>
        </w:rPr>
      </w:pPr>
      <w:r w:rsidRPr="00B07022">
        <w:rPr>
          <w:rFonts w:cs="Arial"/>
          <w:szCs w:val="22"/>
          <w:u w:val="single"/>
        </w:rPr>
        <w:t>Editorial Activities:</w:t>
      </w:r>
      <w:r w:rsidRPr="00B07022">
        <w:rPr>
          <w:rFonts w:cs="Arial"/>
          <w:szCs w:val="22"/>
        </w:rPr>
        <w:t xml:space="preserve"> co-Editor-in-Chief, Advances in Genetics (1995 - </w:t>
      </w:r>
      <w:r w:rsidR="00C15B07">
        <w:rPr>
          <w:rFonts w:cs="Arial"/>
          <w:szCs w:val="22"/>
        </w:rPr>
        <w:t>)</w:t>
      </w:r>
      <w:bookmarkStart w:id="0" w:name="_GoBack"/>
      <w:bookmarkEnd w:id="0"/>
      <w:r w:rsidRPr="00B07022">
        <w:rPr>
          <w:rFonts w:cs="Arial"/>
          <w:szCs w:val="22"/>
        </w:rPr>
        <w:t>; Editor, Eukaryotic Cell (ASM Press) (2001 - 2011), editorial boards, J. Biological Rhythms (1994 – 2001</w:t>
      </w:r>
      <w:r w:rsidR="003F1CDD">
        <w:rPr>
          <w:rFonts w:cs="Arial"/>
          <w:szCs w:val="22"/>
        </w:rPr>
        <w:t>; 2014 -</w:t>
      </w:r>
      <w:r w:rsidRPr="00B07022">
        <w:rPr>
          <w:rFonts w:cs="Arial"/>
          <w:szCs w:val="22"/>
        </w:rPr>
        <w:t>); G3 (2011 - )</w:t>
      </w:r>
    </w:p>
    <w:p w14:paraId="407424EE" w14:textId="2C2F4531" w:rsidR="00B07022" w:rsidRPr="00B07022" w:rsidRDefault="00B07022" w:rsidP="00D05EAA">
      <w:pPr>
        <w:widowControl w:val="0"/>
        <w:tabs>
          <w:tab w:val="left" w:pos="720"/>
          <w:tab w:val="left" w:pos="1620"/>
        </w:tabs>
        <w:ind w:left="720" w:hanging="720"/>
        <w:rPr>
          <w:rFonts w:cs="Arial"/>
          <w:szCs w:val="22"/>
        </w:rPr>
      </w:pPr>
      <w:r w:rsidRPr="00B07022">
        <w:rPr>
          <w:rFonts w:cs="Arial"/>
          <w:szCs w:val="22"/>
          <w:u w:val="single"/>
        </w:rPr>
        <w:t>Meetings:</w:t>
      </w:r>
      <w:r w:rsidRPr="00B07022">
        <w:rPr>
          <w:rFonts w:cs="Arial"/>
          <w:szCs w:val="22"/>
        </w:rPr>
        <w:t xml:space="preserve">  1991 - co-Organizer, 16th Biennial Fungal Genetics </w:t>
      </w:r>
      <w:r w:rsidR="00D05EAA">
        <w:rPr>
          <w:rFonts w:cs="Arial"/>
          <w:szCs w:val="22"/>
        </w:rPr>
        <w:t>Conf.</w:t>
      </w:r>
      <w:r w:rsidRPr="00B07022">
        <w:rPr>
          <w:rFonts w:cs="Arial"/>
          <w:szCs w:val="22"/>
        </w:rPr>
        <w:t xml:space="preserve">; 1995 - co-Organizer, APS meeting, </w:t>
      </w:r>
      <w:r w:rsidRPr="00B07022">
        <w:rPr>
          <w:rFonts w:cs="Arial"/>
          <w:szCs w:val="22"/>
          <w:u w:val="words"/>
        </w:rPr>
        <w:t xml:space="preserve">The Genetics and Physiology of Circadian Rhythms; </w:t>
      </w:r>
      <w:r w:rsidRPr="00B07022">
        <w:rPr>
          <w:rFonts w:cs="Arial"/>
          <w:szCs w:val="22"/>
        </w:rPr>
        <w:t>1998 - Chair, Cellular and Molecular Mycology Gordon Conference; 2007-co-Proposer 72</w:t>
      </w:r>
      <w:r w:rsidRPr="00B07022">
        <w:rPr>
          <w:rFonts w:cs="Arial"/>
          <w:szCs w:val="22"/>
          <w:vertAlign w:val="superscript"/>
        </w:rPr>
        <w:t>st</w:t>
      </w:r>
      <w:r w:rsidRPr="00B07022">
        <w:rPr>
          <w:rFonts w:cs="Arial"/>
          <w:szCs w:val="22"/>
        </w:rPr>
        <w:t xml:space="preserve"> Cold Spring Harbor Symposium:  Circadian Rhythms; 2008; co-Organizer, Keystone Sleep meeting; 2009, </w:t>
      </w:r>
      <w:r w:rsidR="00D05EAA" w:rsidRPr="00B07022">
        <w:rPr>
          <w:rFonts w:cs="Arial"/>
          <w:szCs w:val="22"/>
        </w:rPr>
        <w:t xml:space="preserve">co-Organizer, </w:t>
      </w:r>
      <w:r w:rsidRPr="00B07022">
        <w:rPr>
          <w:rFonts w:cs="Arial"/>
          <w:szCs w:val="22"/>
        </w:rPr>
        <w:t>25</w:t>
      </w:r>
      <w:r w:rsidRPr="00B07022">
        <w:rPr>
          <w:rFonts w:cs="Arial"/>
          <w:szCs w:val="22"/>
          <w:vertAlign w:val="superscript"/>
        </w:rPr>
        <w:t>th</w:t>
      </w:r>
      <w:r w:rsidRPr="00B07022">
        <w:rPr>
          <w:rFonts w:cs="Arial"/>
          <w:szCs w:val="22"/>
        </w:rPr>
        <w:t xml:space="preserve"> Biennial Fungal Genetics </w:t>
      </w:r>
      <w:r w:rsidR="00D05EAA">
        <w:rPr>
          <w:rFonts w:cs="Arial"/>
          <w:szCs w:val="22"/>
        </w:rPr>
        <w:t>Conf.</w:t>
      </w:r>
    </w:p>
    <w:p w14:paraId="42B9A231" w14:textId="77777777" w:rsidR="00B07022" w:rsidRPr="00B07022" w:rsidRDefault="00B07022" w:rsidP="00D05EAA">
      <w:pPr>
        <w:ind w:left="720" w:hanging="720"/>
        <w:rPr>
          <w:rFonts w:cs="Arial"/>
          <w:szCs w:val="22"/>
        </w:rPr>
      </w:pPr>
      <w:r w:rsidRPr="00B07022">
        <w:rPr>
          <w:rFonts w:cs="Arial"/>
          <w:szCs w:val="22"/>
          <w:u w:val="words"/>
        </w:rPr>
        <w:t xml:space="preserve">National Science Foundation:  </w:t>
      </w:r>
      <w:r w:rsidRPr="00B07022">
        <w:rPr>
          <w:rFonts w:cs="Arial"/>
          <w:szCs w:val="22"/>
        </w:rPr>
        <w:t xml:space="preserve">Regular Member - NSF Grant Review Panel on Microbial Genetics (1989 - 1992); Ad Hoc reviewer; </w:t>
      </w:r>
      <w:r w:rsidRPr="00B07022">
        <w:rPr>
          <w:rFonts w:cs="Arial"/>
          <w:szCs w:val="22"/>
          <w:u w:val="words"/>
        </w:rPr>
        <w:t>NSF Center for Biological Timing</w:t>
      </w:r>
      <w:r w:rsidRPr="00B07022">
        <w:rPr>
          <w:rFonts w:cs="Arial"/>
          <w:szCs w:val="22"/>
        </w:rPr>
        <w:t xml:space="preserve"> - External Advisory Committee, 1991 - 2002</w:t>
      </w:r>
    </w:p>
    <w:p w14:paraId="66900292" w14:textId="77777777" w:rsidR="00B07022" w:rsidRPr="00B07022" w:rsidRDefault="00B07022" w:rsidP="00D05EAA">
      <w:pPr>
        <w:ind w:left="720" w:hanging="720"/>
        <w:rPr>
          <w:rFonts w:cs="Arial"/>
          <w:szCs w:val="22"/>
        </w:rPr>
      </w:pPr>
      <w:r w:rsidRPr="00B07022">
        <w:rPr>
          <w:rFonts w:cs="Arial"/>
          <w:szCs w:val="22"/>
          <w:u w:val="single"/>
        </w:rPr>
        <w:t>UK Medical Research Council</w:t>
      </w:r>
      <w:r w:rsidRPr="00B07022">
        <w:rPr>
          <w:rFonts w:cs="Arial"/>
          <w:szCs w:val="22"/>
        </w:rPr>
        <w:t>, outside reviewer for the Laboratory of Molecular Biology, Neurobiology Division, Cambridge. 2004</w:t>
      </w:r>
    </w:p>
    <w:p w14:paraId="3DBF93E6" w14:textId="2F2B0FB5" w:rsidR="00B07022" w:rsidRPr="00B07022" w:rsidRDefault="00B07022" w:rsidP="00D05EAA">
      <w:pPr>
        <w:widowControl w:val="0"/>
        <w:tabs>
          <w:tab w:val="left" w:pos="720"/>
          <w:tab w:val="left" w:pos="1620"/>
        </w:tabs>
        <w:ind w:left="720" w:hanging="720"/>
        <w:rPr>
          <w:rFonts w:cs="Arial"/>
          <w:szCs w:val="22"/>
        </w:rPr>
      </w:pPr>
      <w:r w:rsidRPr="00B07022">
        <w:rPr>
          <w:rFonts w:cs="Arial"/>
          <w:szCs w:val="22"/>
          <w:u w:val="single"/>
        </w:rPr>
        <w:t>External Advisory Committee</w:t>
      </w:r>
      <w:r w:rsidRPr="00B07022">
        <w:rPr>
          <w:rFonts w:cs="Arial"/>
          <w:szCs w:val="22"/>
        </w:rPr>
        <w:t>,  UO1 GM61388 "Pharmacogenetics of Phase II Drug Metabolizing Enzymes, Mayo Clinic</w:t>
      </w:r>
      <w:r w:rsidR="004A10D0">
        <w:rPr>
          <w:rFonts w:cs="Arial"/>
          <w:szCs w:val="22"/>
        </w:rPr>
        <w:t xml:space="preserve">, 2004-14 </w:t>
      </w:r>
      <w:r w:rsidRPr="00B07022">
        <w:rPr>
          <w:rFonts w:cs="Arial"/>
          <w:szCs w:val="22"/>
        </w:rPr>
        <w:t>, P01 NS39546-01 "Coordination of Circadian Physiology”, Texas A&amp;M</w:t>
      </w:r>
    </w:p>
    <w:p w14:paraId="55170004" w14:textId="482DBDF2" w:rsidR="00B07022" w:rsidRPr="00B07022" w:rsidRDefault="00B07022" w:rsidP="00D05EAA">
      <w:pPr>
        <w:tabs>
          <w:tab w:val="left" w:pos="1800"/>
        </w:tabs>
        <w:ind w:left="720" w:hanging="720"/>
        <w:jc w:val="both"/>
        <w:rPr>
          <w:rFonts w:cs="Arial"/>
          <w:szCs w:val="22"/>
        </w:rPr>
      </w:pPr>
      <w:r w:rsidRPr="00B07022">
        <w:rPr>
          <w:rFonts w:cs="Arial"/>
          <w:szCs w:val="22"/>
          <w:u w:val="single"/>
        </w:rPr>
        <w:t>Scientific Community:</w:t>
      </w:r>
      <w:r w:rsidRPr="00B07022">
        <w:rPr>
          <w:rFonts w:cs="Arial"/>
          <w:szCs w:val="22"/>
        </w:rPr>
        <w:t xml:space="preserve"> </w:t>
      </w:r>
      <w:r w:rsidR="00BD126F" w:rsidRPr="00BD126F">
        <w:rPr>
          <w:rFonts w:cs="Arial"/>
          <w:szCs w:val="22"/>
          <w:u w:val="single"/>
        </w:rPr>
        <w:t>Society for Research on Biological Rhythms</w:t>
      </w:r>
      <w:r w:rsidR="00BD126F">
        <w:rPr>
          <w:rFonts w:cs="Arial"/>
          <w:szCs w:val="22"/>
        </w:rPr>
        <w:t xml:space="preserve"> </w:t>
      </w:r>
      <w:r w:rsidR="00BD126F" w:rsidRPr="00B07022">
        <w:rPr>
          <w:rFonts w:cs="Arial"/>
          <w:szCs w:val="22"/>
        </w:rPr>
        <w:t>(600</w:t>
      </w:r>
      <w:r w:rsidR="00BD126F" w:rsidRPr="00B07022">
        <w:rPr>
          <w:rFonts w:cs="Arial"/>
          <w:position w:val="6"/>
          <w:szCs w:val="22"/>
        </w:rPr>
        <w:t>+</w:t>
      </w:r>
      <w:r w:rsidR="00BD126F" w:rsidRPr="00B07022">
        <w:rPr>
          <w:rFonts w:cs="Arial"/>
          <w:szCs w:val="22"/>
        </w:rPr>
        <w:t xml:space="preserve"> members) </w:t>
      </w:r>
      <w:r w:rsidR="00BD126F">
        <w:rPr>
          <w:rFonts w:cs="Arial"/>
          <w:szCs w:val="22"/>
        </w:rPr>
        <w:t xml:space="preserve">- </w:t>
      </w:r>
      <w:r w:rsidRPr="00B07022">
        <w:rPr>
          <w:rFonts w:cs="Arial"/>
          <w:szCs w:val="22"/>
        </w:rPr>
        <w:t xml:space="preserve">President, </w:t>
      </w:r>
      <w:r w:rsidR="00BD126F">
        <w:rPr>
          <w:rFonts w:cs="Arial"/>
          <w:szCs w:val="22"/>
        </w:rPr>
        <w:t>(</w:t>
      </w:r>
      <w:r w:rsidRPr="00B07022">
        <w:rPr>
          <w:rFonts w:cs="Arial"/>
          <w:szCs w:val="22"/>
        </w:rPr>
        <w:t>1998 – 2000</w:t>
      </w:r>
      <w:r w:rsidR="00BD126F">
        <w:rPr>
          <w:rFonts w:cs="Arial"/>
          <w:szCs w:val="22"/>
        </w:rPr>
        <w:t>)</w:t>
      </w:r>
      <w:r w:rsidRPr="00B07022">
        <w:rPr>
          <w:rFonts w:cs="Arial"/>
          <w:szCs w:val="22"/>
        </w:rPr>
        <w:t xml:space="preserve"> Treasurer</w:t>
      </w:r>
      <w:r w:rsidR="00BD126F">
        <w:rPr>
          <w:rFonts w:cs="Arial"/>
          <w:szCs w:val="22"/>
        </w:rPr>
        <w:t xml:space="preserve"> (</w:t>
      </w:r>
      <w:r w:rsidRPr="00B07022">
        <w:rPr>
          <w:rFonts w:cs="Arial"/>
          <w:szCs w:val="22"/>
        </w:rPr>
        <w:t>1992 – 1994</w:t>
      </w:r>
      <w:r w:rsidR="00BD126F">
        <w:rPr>
          <w:rFonts w:cs="Arial"/>
          <w:szCs w:val="22"/>
        </w:rPr>
        <w:t>)</w:t>
      </w:r>
      <w:r w:rsidRPr="00B07022">
        <w:rPr>
          <w:rFonts w:cs="Arial"/>
          <w:szCs w:val="22"/>
        </w:rPr>
        <w:t xml:space="preserve">; </w:t>
      </w:r>
      <w:r w:rsidR="00BD126F" w:rsidRPr="00BD126F">
        <w:rPr>
          <w:rFonts w:cs="Arial"/>
          <w:szCs w:val="22"/>
          <w:u w:val="single"/>
        </w:rPr>
        <w:t>Comm. to Sequence Neurospora</w:t>
      </w:r>
      <w:r w:rsidR="00BD126F">
        <w:rPr>
          <w:rFonts w:cs="Arial"/>
          <w:szCs w:val="22"/>
        </w:rPr>
        <w:t xml:space="preserve"> - chair (1</w:t>
      </w:r>
      <w:r w:rsidRPr="00B07022">
        <w:rPr>
          <w:rFonts w:cs="Arial"/>
          <w:szCs w:val="22"/>
        </w:rPr>
        <w:t>996-</w:t>
      </w:r>
      <w:r w:rsidR="00BD126F">
        <w:rPr>
          <w:rFonts w:cs="Arial"/>
          <w:szCs w:val="22"/>
        </w:rPr>
        <w:t>2000)</w:t>
      </w:r>
      <w:r w:rsidRPr="00B07022">
        <w:rPr>
          <w:rFonts w:cs="Arial"/>
          <w:szCs w:val="22"/>
        </w:rPr>
        <w:t xml:space="preserve">; </w:t>
      </w:r>
      <w:r w:rsidRPr="00BD126F">
        <w:rPr>
          <w:rFonts w:cs="Arial"/>
          <w:i/>
          <w:szCs w:val="22"/>
          <w:u w:val="single"/>
        </w:rPr>
        <w:t>Neurospora</w:t>
      </w:r>
      <w:r w:rsidRPr="00BD126F">
        <w:rPr>
          <w:rFonts w:cs="Arial"/>
          <w:szCs w:val="22"/>
          <w:u w:val="single"/>
        </w:rPr>
        <w:t xml:space="preserve">  Policy Committee</w:t>
      </w:r>
      <w:r w:rsidRPr="00B07022">
        <w:rPr>
          <w:rFonts w:cs="Arial"/>
          <w:szCs w:val="22"/>
        </w:rPr>
        <w:t xml:space="preserve"> - Chair, 1993 – 1995</w:t>
      </w:r>
      <w:r w:rsidR="00BD126F">
        <w:rPr>
          <w:rFonts w:cs="Arial"/>
          <w:szCs w:val="22"/>
        </w:rPr>
        <w:t xml:space="preserve">; </w:t>
      </w:r>
      <w:r w:rsidR="00BD126F" w:rsidRPr="00BD126F">
        <w:rPr>
          <w:rFonts w:cs="Arial"/>
          <w:szCs w:val="22"/>
          <w:u w:val="single"/>
        </w:rPr>
        <w:t>Fungal Genetics Policy Committee</w:t>
      </w:r>
      <w:r w:rsidR="00BD126F">
        <w:rPr>
          <w:rFonts w:cs="Arial"/>
          <w:szCs w:val="22"/>
        </w:rPr>
        <w:t xml:space="preserve"> (1991-1999); </w:t>
      </w:r>
      <w:r w:rsidRPr="00B07022">
        <w:rPr>
          <w:rFonts w:cs="Arial"/>
          <w:szCs w:val="22"/>
          <w:u w:val="single"/>
        </w:rPr>
        <w:t>Genetics Society of America</w:t>
      </w:r>
      <w:r w:rsidRPr="00B07022">
        <w:rPr>
          <w:rFonts w:cs="Arial"/>
          <w:szCs w:val="22"/>
        </w:rPr>
        <w:t>: Board of Directors (2009 – 2012)</w:t>
      </w:r>
      <w:r w:rsidR="00BD126F">
        <w:rPr>
          <w:rFonts w:cs="Arial"/>
          <w:szCs w:val="22"/>
        </w:rPr>
        <w:t xml:space="preserve">; </w:t>
      </w:r>
      <w:r w:rsidRPr="00B07022">
        <w:rPr>
          <w:rFonts w:cs="Arial"/>
          <w:szCs w:val="22"/>
          <w:u w:val="single"/>
        </w:rPr>
        <w:t xml:space="preserve">FASEB: </w:t>
      </w:r>
      <w:r w:rsidRPr="00BD126F">
        <w:rPr>
          <w:rFonts w:cs="Arial"/>
          <w:szCs w:val="22"/>
        </w:rPr>
        <w:t>Board Of Directors</w:t>
      </w:r>
      <w:r w:rsidRPr="00B07022">
        <w:rPr>
          <w:rFonts w:cs="Arial"/>
          <w:szCs w:val="22"/>
        </w:rPr>
        <w:t xml:space="preserve"> (2012 – 2014)</w:t>
      </w:r>
      <w:r w:rsidR="00A17838">
        <w:rPr>
          <w:rFonts w:cs="Arial"/>
          <w:szCs w:val="22"/>
        </w:rPr>
        <w:t xml:space="preserve">; Selection Comm. for </w:t>
      </w:r>
      <w:proofErr w:type="spellStart"/>
      <w:r w:rsidR="00A17838">
        <w:rPr>
          <w:rFonts w:cs="Arial"/>
          <w:szCs w:val="22"/>
        </w:rPr>
        <w:t>Honma</w:t>
      </w:r>
      <w:proofErr w:type="spellEnd"/>
      <w:r w:rsidR="00A17838">
        <w:rPr>
          <w:rFonts w:cs="Arial"/>
          <w:szCs w:val="22"/>
        </w:rPr>
        <w:t xml:space="preserve"> International Prize in Chronobiology 2012-2016</w:t>
      </w:r>
    </w:p>
    <w:p w14:paraId="6E686C06" w14:textId="77777777" w:rsidR="00B07022" w:rsidRPr="00B07022" w:rsidRDefault="00B07022" w:rsidP="00B07022">
      <w:pPr>
        <w:tabs>
          <w:tab w:val="left" w:pos="1440"/>
          <w:tab w:val="left" w:pos="1800"/>
        </w:tabs>
        <w:ind w:left="1080" w:hanging="1080"/>
        <w:jc w:val="both"/>
        <w:rPr>
          <w:rFonts w:cs="Arial"/>
          <w:b/>
          <w:szCs w:val="22"/>
          <w:u w:val="single"/>
        </w:rPr>
      </w:pPr>
    </w:p>
    <w:p w14:paraId="37050277" w14:textId="77777777" w:rsidR="00B07022" w:rsidRPr="00B07022" w:rsidRDefault="00B07022" w:rsidP="00B07022">
      <w:pPr>
        <w:tabs>
          <w:tab w:val="left" w:pos="1440"/>
          <w:tab w:val="left" w:pos="1800"/>
        </w:tabs>
        <w:ind w:left="1080" w:hanging="1080"/>
        <w:jc w:val="both"/>
        <w:rPr>
          <w:rFonts w:cs="Arial"/>
          <w:b/>
          <w:szCs w:val="22"/>
          <w:u w:val="single"/>
        </w:rPr>
      </w:pPr>
      <w:r w:rsidRPr="00B07022">
        <w:rPr>
          <w:rFonts w:cs="Arial"/>
          <w:b/>
          <w:szCs w:val="22"/>
          <w:u w:val="single"/>
        </w:rPr>
        <w:t>Honors and Awards</w:t>
      </w:r>
    </w:p>
    <w:p w14:paraId="563C5271" w14:textId="77777777" w:rsidR="00B07022" w:rsidRPr="00B07022" w:rsidRDefault="00B07022" w:rsidP="00B07022">
      <w:pPr>
        <w:pStyle w:val="DataField11pt-Single"/>
        <w:ind w:left="1080" w:hanging="1080"/>
        <w:rPr>
          <w:szCs w:val="22"/>
        </w:rPr>
      </w:pPr>
      <w:r w:rsidRPr="00B07022">
        <w:rPr>
          <w:szCs w:val="22"/>
        </w:rPr>
        <w:t>1974</w:t>
      </w:r>
      <w:r w:rsidRPr="00B07022">
        <w:rPr>
          <w:szCs w:val="22"/>
        </w:rPr>
        <w:tab/>
        <w:t>Phi Beta Kappa, Phi Lambda Upsilon (National Chemistry Honorary)</w:t>
      </w:r>
    </w:p>
    <w:p w14:paraId="63339044" w14:textId="77777777" w:rsidR="00B07022" w:rsidRPr="00B07022" w:rsidRDefault="00B07022" w:rsidP="00B07022">
      <w:pPr>
        <w:widowControl w:val="0"/>
        <w:tabs>
          <w:tab w:val="left" w:pos="720"/>
        </w:tabs>
        <w:ind w:left="1080" w:hanging="1080"/>
        <w:rPr>
          <w:rFonts w:cs="Arial"/>
          <w:szCs w:val="22"/>
        </w:rPr>
      </w:pPr>
      <w:r w:rsidRPr="00B07022">
        <w:rPr>
          <w:rFonts w:cs="Arial"/>
          <w:szCs w:val="22"/>
        </w:rPr>
        <w:t>1974</w:t>
      </w:r>
      <w:r w:rsidRPr="00B07022">
        <w:rPr>
          <w:rFonts w:cs="Arial"/>
          <w:szCs w:val="22"/>
        </w:rPr>
        <w:tab/>
      </w:r>
      <w:r w:rsidRPr="00B07022">
        <w:rPr>
          <w:rFonts w:cs="Arial"/>
          <w:szCs w:val="22"/>
        </w:rPr>
        <w:tab/>
        <w:t>Graduation, separate degrees in Chemistry and Oceanography, Magna cum Laude in each</w:t>
      </w:r>
    </w:p>
    <w:p w14:paraId="4C326B07" w14:textId="77777777" w:rsidR="00B07022" w:rsidRPr="00B07022" w:rsidRDefault="00B07022" w:rsidP="00B07022">
      <w:pPr>
        <w:widowControl w:val="0"/>
        <w:ind w:left="1080" w:hanging="1080"/>
        <w:rPr>
          <w:rFonts w:cs="Arial"/>
          <w:color w:val="000000"/>
          <w:szCs w:val="22"/>
        </w:rPr>
      </w:pPr>
      <w:r w:rsidRPr="00B07022">
        <w:rPr>
          <w:rFonts w:cs="Arial"/>
          <w:szCs w:val="22"/>
        </w:rPr>
        <w:t>1980</w:t>
      </w:r>
      <w:r w:rsidRPr="00B07022">
        <w:rPr>
          <w:rFonts w:cs="Arial"/>
          <w:szCs w:val="22"/>
        </w:rPr>
        <w:tab/>
        <w:t>Damon Runyon - Walter Winchell Fellowship</w:t>
      </w:r>
    </w:p>
    <w:p w14:paraId="4540BBB7" w14:textId="77777777" w:rsidR="00B07022" w:rsidRPr="00B07022" w:rsidRDefault="00B07022" w:rsidP="00B07022">
      <w:pPr>
        <w:widowControl w:val="0"/>
        <w:ind w:left="1080" w:hanging="1080"/>
        <w:rPr>
          <w:rFonts w:cs="Arial"/>
          <w:szCs w:val="22"/>
        </w:rPr>
      </w:pPr>
      <w:r w:rsidRPr="00B07022">
        <w:rPr>
          <w:rFonts w:cs="Arial"/>
          <w:szCs w:val="22"/>
        </w:rPr>
        <w:t>1983</w:t>
      </w:r>
      <w:r w:rsidRPr="00B07022">
        <w:rPr>
          <w:rFonts w:cs="Arial"/>
          <w:szCs w:val="22"/>
        </w:rPr>
        <w:tab/>
        <w:t>National Research Service Award, NIH</w:t>
      </w:r>
    </w:p>
    <w:p w14:paraId="06CDF3F8"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 xml:space="preserve">1991 </w:t>
      </w:r>
      <w:r w:rsidRPr="00B07022">
        <w:rPr>
          <w:rFonts w:cs="Arial"/>
          <w:szCs w:val="22"/>
        </w:rPr>
        <w:tab/>
        <w:t>Honma International Prize For Biological Rhythms Research -</w:t>
      </w:r>
      <w:r>
        <w:rPr>
          <w:rFonts w:cs="Arial"/>
          <w:szCs w:val="22"/>
        </w:rPr>
        <w:t xml:space="preserve"> a prize of ¥1,000,000, awarded </w:t>
      </w:r>
      <w:r w:rsidRPr="00B07022">
        <w:rPr>
          <w:rFonts w:cs="Arial"/>
          <w:szCs w:val="22"/>
        </w:rPr>
        <w:t xml:space="preserve">biennially to a scientist under 40 for "exceptional contributions in the field of circadian rhythms" </w:t>
      </w:r>
    </w:p>
    <w:p w14:paraId="656B5BE1"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1992 - 1997</w:t>
      </w:r>
      <w:r w:rsidRPr="00B07022">
        <w:rPr>
          <w:rFonts w:cs="Arial"/>
          <w:szCs w:val="22"/>
        </w:rPr>
        <w:tab/>
        <w:t>Senior Scientist Award, National Institute of Mental Health</w:t>
      </w:r>
    </w:p>
    <w:p w14:paraId="753A3CE2" w14:textId="77777777" w:rsidR="00B07022" w:rsidRDefault="00B07022" w:rsidP="00B07022">
      <w:pPr>
        <w:pStyle w:val="BodyTextIndent2"/>
        <w:spacing w:line="240" w:lineRule="auto"/>
        <w:ind w:left="1080" w:hanging="1080"/>
        <w:contextualSpacing/>
        <w:rPr>
          <w:rFonts w:cs="Arial"/>
          <w:szCs w:val="22"/>
        </w:rPr>
      </w:pPr>
      <w:r>
        <w:rPr>
          <w:rFonts w:cs="Arial"/>
          <w:szCs w:val="22"/>
        </w:rPr>
        <w:t>1998</w:t>
      </w:r>
      <w:r w:rsidRPr="00B07022">
        <w:rPr>
          <w:rFonts w:cs="Arial"/>
          <w:szCs w:val="22"/>
        </w:rPr>
        <w:t xml:space="preserve">  </w:t>
      </w:r>
      <w:r w:rsidRPr="00B07022">
        <w:rPr>
          <w:rFonts w:cs="Arial"/>
          <w:szCs w:val="22"/>
        </w:rPr>
        <w:tab/>
        <w:t>MERIT award, NIGMS</w:t>
      </w:r>
    </w:p>
    <w:p w14:paraId="03BC9C61"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 xml:space="preserve">2005 </w:t>
      </w:r>
      <w:r w:rsidRPr="00B07022">
        <w:rPr>
          <w:rFonts w:cs="Arial"/>
          <w:szCs w:val="22"/>
        </w:rPr>
        <w:tab/>
        <w:t xml:space="preserve">(first) recipient of Genetics Society of America Robert L. Metzenberg Award </w:t>
      </w:r>
    </w:p>
    <w:p w14:paraId="3FBAAA34"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2009</w:t>
      </w:r>
      <w:r w:rsidRPr="00B07022">
        <w:rPr>
          <w:rFonts w:cs="Arial"/>
          <w:szCs w:val="22"/>
        </w:rPr>
        <w:tab/>
        <w:t>George W. Beadle Medal, Genetics Society of America</w:t>
      </w:r>
    </w:p>
    <w:p w14:paraId="39F653E3"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2009</w:t>
      </w:r>
      <w:r w:rsidRPr="00B07022">
        <w:rPr>
          <w:rFonts w:cs="Arial"/>
          <w:szCs w:val="22"/>
        </w:rPr>
        <w:tab/>
        <w:t>elected to the National Academy of Sciences, Genetics section</w:t>
      </w:r>
    </w:p>
    <w:p w14:paraId="145D2B70"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2010</w:t>
      </w:r>
      <w:r w:rsidRPr="00B07022">
        <w:rPr>
          <w:rFonts w:cs="Arial"/>
          <w:szCs w:val="22"/>
        </w:rPr>
        <w:tab/>
        <w:t>elected fellow of AAAS</w:t>
      </w:r>
    </w:p>
    <w:p w14:paraId="060D7574" w14:textId="77777777" w:rsidR="00B07022" w:rsidRDefault="00B07022" w:rsidP="00B07022">
      <w:pPr>
        <w:pStyle w:val="BodyTextIndent2"/>
        <w:spacing w:line="240" w:lineRule="auto"/>
        <w:ind w:left="1080" w:hanging="1080"/>
        <w:contextualSpacing/>
        <w:rPr>
          <w:rFonts w:cs="Arial"/>
          <w:szCs w:val="22"/>
        </w:rPr>
      </w:pPr>
      <w:r w:rsidRPr="00B07022">
        <w:rPr>
          <w:rFonts w:cs="Arial"/>
          <w:szCs w:val="22"/>
        </w:rPr>
        <w:t>2010</w:t>
      </w:r>
      <w:r w:rsidRPr="00B07022">
        <w:rPr>
          <w:rFonts w:cs="Arial"/>
          <w:szCs w:val="22"/>
        </w:rPr>
        <w:tab/>
        <w:t>elected to the American Academy of Microbiology</w:t>
      </w:r>
    </w:p>
    <w:p w14:paraId="3C312C67" w14:textId="4D5F84DC" w:rsidR="00B07022" w:rsidRPr="00B07022" w:rsidRDefault="00B07022" w:rsidP="00B07022">
      <w:pPr>
        <w:pStyle w:val="BodyTextIndent2"/>
        <w:spacing w:line="240" w:lineRule="auto"/>
        <w:ind w:left="1080" w:hanging="1080"/>
        <w:contextualSpacing/>
        <w:rPr>
          <w:rFonts w:cs="Arial"/>
          <w:szCs w:val="22"/>
        </w:rPr>
      </w:pPr>
      <w:r w:rsidRPr="00B07022">
        <w:rPr>
          <w:rFonts w:cs="Arial"/>
          <w:szCs w:val="22"/>
        </w:rPr>
        <w:t>2013</w:t>
      </w:r>
      <w:r w:rsidRPr="00B07022">
        <w:rPr>
          <w:rFonts w:cs="Arial"/>
          <w:szCs w:val="22"/>
        </w:rPr>
        <w:tab/>
        <w:t>Fellow, Texas A&amp;M University Institute for Advanced Studies</w:t>
      </w:r>
    </w:p>
    <w:p w14:paraId="4DF5C4C6" w14:textId="2C7E2F29" w:rsidR="00E67A05" w:rsidRDefault="00E67A05" w:rsidP="00D825A1">
      <w:pPr>
        <w:pStyle w:val="Heading1"/>
      </w:pPr>
      <w:r>
        <w:t>C.</w:t>
      </w:r>
      <w:r>
        <w:tab/>
      </w:r>
      <w:r w:rsidR="00C00F42">
        <w:t>Contribution</w:t>
      </w:r>
      <w:r w:rsidR="00D05EAA">
        <w:t>s</w:t>
      </w:r>
      <w:r w:rsidR="00C00F42">
        <w:t xml:space="preserve"> to Science</w:t>
      </w:r>
    </w:p>
    <w:p w14:paraId="70E3E2A3" w14:textId="612C1791" w:rsidR="00BD126F" w:rsidRPr="00BD3E5A" w:rsidRDefault="00BD126F" w:rsidP="00BD126F">
      <w:pPr>
        <w:rPr>
          <w:szCs w:val="22"/>
        </w:rPr>
      </w:pPr>
      <w:r w:rsidRPr="00BD3E5A">
        <w:rPr>
          <w:szCs w:val="22"/>
        </w:rPr>
        <w:t xml:space="preserve">1.  </w:t>
      </w:r>
      <w:r w:rsidRPr="00BD3E5A">
        <w:rPr>
          <w:b/>
          <w:szCs w:val="22"/>
        </w:rPr>
        <w:t>General</w:t>
      </w:r>
      <w:r w:rsidRPr="00BD3E5A">
        <w:rPr>
          <w:szCs w:val="22"/>
        </w:rPr>
        <w:t>:  When I began my own research as an assistant professor in 1984 there were a few genes identified thorough classical forward screens in Chlamydomonas, Neurospora, and Drosophila but no clock genes were cloned. My goal was to describe the circadian system in the language of genetics and biochemistry, i.e. all the things in the cell required for full circadian characteristics and how they worked together</w:t>
      </w:r>
      <w:r w:rsidR="00D05EAA">
        <w:rPr>
          <w:szCs w:val="22"/>
        </w:rPr>
        <w:t xml:space="preserve"> to yield</w:t>
      </w:r>
      <w:r w:rsidRPr="00BD3E5A">
        <w:rPr>
          <w:szCs w:val="22"/>
        </w:rPr>
        <w:t xml:space="preserve"> </w:t>
      </w:r>
      <w:r w:rsidR="00D05EAA">
        <w:rPr>
          <w:szCs w:val="22"/>
        </w:rPr>
        <w:t xml:space="preserve">(1) </w:t>
      </w:r>
      <w:r w:rsidRPr="00BD3E5A">
        <w:rPr>
          <w:szCs w:val="22"/>
        </w:rPr>
        <w:t xml:space="preserve">a sustained oscillation </w:t>
      </w:r>
      <w:r w:rsidR="00D05EAA">
        <w:rPr>
          <w:szCs w:val="22"/>
        </w:rPr>
        <w:t xml:space="preserve">(2) </w:t>
      </w:r>
      <w:r w:rsidRPr="00BD3E5A">
        <w:rPr>
          <w:szCs w:val="22"/>
        </w:rPr>
        <w:t xml:space="preserve">with a period of about a day under constant conditions, </w:t>
      </w:r>
      <w:r w:rsidR="00D05EAA">
        <w:rPr>
          <w:szCs w:val="22"/>
        </w:rPr>
        <w:t xml:space="preserve">(3) </w:t>
      </w:r>
      <w:r w:rsidRPr="00BD3E5A">
        <w:rPr>
          <w:szCs w:val="22"/>
        </w:rPr>
        <w:t xml:space="preserve">resettable by light and temperature cues, and </w:t>
      </w:r>
      <w:r w:rsidR="00D05EAA">
        <w:rPr>
          <w:szCs w:val="22"/>
        </w:rPr>
        <w:t xml:space="preserve">(4) </w:t>
      </w:r>
      <w:r w:rsidRPr="00BD3E5A">
        <w:rPr>
          <w:szCs w:val="22"/>
        </w:rPr>
        <w:t xml:space="preserve">compensated against changes in ambient temperature and nutrition.  I asserted (controversially but correctly as it turned out) that single cells including those in mammals were capable of executing all circadian characteristics. We conceptually broke the problem into 3 parts: (1) </w:t>
      </w:r>
      <w:r w:rsidR="00D05EAA">
        <w:rPr>
          <w:szCs w:val="22"/>
        </w:rPr>
        <w:t>M</w:t>
      </w:r>
      <w:r w:rsidRPr="00BD3E5A">
        <w:rPr>
          <w:szCs w:val="22"/>
        </w:rPr>
        <w:t xml:space="preserve">echanism, meaning identification of the parts required for the oscillation itself and its environmental compensation, and how they work together to keep time; (2) Input, meaning the components and the mechanism by which light and temperature cues reset the clock; (3) </w:t>
      </w:r>
      <w:r w:rsidR="00D05EAA">
        <w:rPr>
          <w:szCs w:val="22"/>
        </w:rPr>
        <w:t>O</w:t>
      </w:r>
      <w:r w:rsidRPr="00BD3E5A">
        <w:rPr>
          <w:szCs w:val="22"/>
        </w:rPr>
        <w:t>utput, meaning the pathways and mechanisms through which the core oscillator controls the metabolism of the cell.  We have been successful in all three of these goals; the third area, output, was separated and became the focus of a long term colleague</w:t>
      </w:r>
      <w:r w:rsidR="00D05EAA">
        <w:rPr>
          <w:szCs w:val="22"/>
        </w:rPr>
        <w:t>, Jennifer Loros</w:t>
      </w:r>
      <w:r w:rsidRPr="00BD3E5A">
        <w:rPr>
          <w:szCs w:val="22"/>
        </w:rPr>
        <w:t>.</w:t>
      </w:r>
    </w:p>
    <w:p w14:paraId="717A768E" w14:textId="2414FBE9" w:rsidR="00BD126F" w:rsidRDefault="00BD126F" w:rsidP="00BD126F">
      <w:pPr>
        <w:rPr>
          <w:szCs w:val="22"/>
        </w:rPr>
      </w:pPr>
      <w:r w:rsidRPr="00BD3E5A">
        <w:rPr>
          <w:szCs w:val="22"/>
        </w:rPr>
        <w:lastRenderedPageBreak/>
        <w:t xml:space="preserve">One grant reviewer referred to the pre-molecular era of rhythms </w:t>
      </w:r>
      <w:r w:rsidR="00D05EAA" w:rsidRPr="00BD3E5A">
        <w:rPr>
          <w:szCs w:val="22"/>
        </w:rPr>
        <w:t xml:space="preserve">science </w:t>
      </w:r>
      <w:r w:rsidRPr="00BD3E5A">
        <w:rPr>
          <w:szCs w:val="22"/>
        </w:rPr>
        <w:t>as the era of “spoon-bending”</w:t>
      </w:r>
      <w:r w:rsidR="00D05EAA">
        <w:rPr>
          <w:szCs w:val="22"/>
        </w:rPr>
        <w:t>; indeed not all the science was good</w:t>
      </w:r>
      <w:r w:rsidRPr="00BD3E5A">
        <w:rPr>
          <w:szCs w:val="22"/>
        </w:rPr>
        <w:t xml:space="preserve">.  As a part of pulling the field together I have tried to take seriously efforts at reviewing the literature to identify emerging common themes to this common biology of circadian rhythmicity, thus focusing not just on work in Neurospora but rather on </w:t>
      </w:r>
      <w:r w:rsidR="00D05EAA">
        <w:rPr>
          <w:szCs w:val="22"/>
        </w:rPr>
        <w:t>work in molecular rhythms written</w:t>
      </w:r>
      <w:r w:rsidRPr="00BD3E5A">
        <w:rPr>
          <w:szCs w:val="22"/>
        </w:rPr>
        <w:t xml:space="preserve"> large(r).  Although reviews are not as sexy as primary papers, and they are certainly labors of love, they can be very important and influential if done well. Although a number have garnered </w:t>
      </w:r>
      <w:r w:rsidR="00514C7C">
        <w:rPr>
          <w:szCs w:val="22"/>
        </w:rPr>
        <w:t>many</w:t>
      </w:r>
      <w:r w:rsidRPr="00BD3E5A">
        <w:rPr>
          <w:szCs w:val="22"/>
        </w:rPr>
        <w:t xml:space="preserve"> citations</w:t>
      </w:r>
      <w:r>
        <w:rPr>
          <w:szCs w:val="22"/>
        </w:rPr>
        <w:t>,</w:t>
      </w:r>
      <w:r w:rsidRPr="00BD3E5A">
        <w:rPr>
          <w:szCs w:val="22"/>
        </w:rPr>
        <w:t xml:space="preserve"> two stand out.</w:t>
      </w:r>
    </w:p>
    <w:p w14:paraId="236B595A" w14:textId="77777777" w:rsidR="008C1D66" w:rsidRPr="00BD3E5A" w:rsidRDefault="008C1D66" w:rsidP="00BD126F">
      <w:pPr>
        <w:rPr>
          <w:szCs w:val="22"/>
        </w:rPr>
      </w:pPr>
    </w:p>
    <w:p w14:paraId="022322CC" w14:textId="77777777" w:rsidR="00BD126F" w:rsidRPr="00BD3E5A" w:rsidRDefault="00BD126F" w:rsidP="008C1D66">
      <w:pPr>
        <w:ind w:left="720" w:hanging="360"/>
        <w:rPr>
          <w:szCs w:val="22"/>
        </w:rPr>
      </w:pPr>
      <w:r w:rsidRPr="00BD3E5A">
        <w:rPr>
          <w:szCs w:val="22"/>
        </w:rPr>
        <w:t xml:space="preserve">a.  Dunlap, Jay C.  Molecular Bases of Circadian Oscillators.  1999. </w:t>
      </w:r>
      <w:r w:rsidRPr="008C1D66">
        <w:rPr>
          <w:b/>
          <w:szCs w:val="22"/>
        </w:rPr>
        <w:t>Cell</w:t>
      </w:r>
      <w:r w:rsidRPr="00BD3E5A">
        <w:rPr>
          <w:szCs w:val="22"/>
        </w:rPr>
        <w:t xml:space="preserve"> 96:  271 – 290.</w:t>
      </w:r>
    </w:p>
    <w:p w14:paraId="18FA8D4E" w14:textId="07896975" w:rsidR="00BD126F" w:rsidRPr="00BD3E5A" w:rsidRDefault="00BD126F" w:rsidP="00514C7C">
      <w:pPr>
        <w:ind w:left="720"/>
        <w:rPr>
          <w:szCs w:val="22"/>
        </w:rPr>
      </w:pPr>
      <w:r w:rsidRPr="00BD3E5A">
        <w:rPr>
          <w:szCs w:val="22"/>
        </w:rPr>
        <w:t xml:space="preserve">This is the most highly cited article on “circadian rhythms” with </w:t>
      </w:r>
      <w:r w:rsidR="00875712">
        <w:rPr>
          <w:szCs w:val="22"/>
        </w:rPr>
        <w:t>&gt;</w:t>
      </w:r>
      <w:r w:rsidRPr="00BD3E5A">
        <w:rPr>
          <w:szCs w:val="22"/>
        </w:rPr>
        <w:t>2</w:t>
      </w:r>
      <w:r w:rsidR="006B63A4">
        <w:rPr>
          <w:szCs w:val="22"/>
        </w:rPr>
        <w:t>40</w:t>
      </w:r>
      <w:r w:rsidR="00875712">
        <w:rPr>
          <w:szCs w:val="22"/>
        </w:rPr>
        <w:t>0</w:t>
      </w:r>
      <w:r w:rsidRPr="00BD3E5A">
        <w:rPr>
          <w:szCs w:val="22"/>
        </w:rPr>
        <w:t xml:space="preserve"> citations listed by Google Scholar, not counting the translations into several languages.</w:t>
      </w:r>
    </w:p>
    <w:p w14:paraId="5F0BAEB8" w14:textId="684F97FA" w:rsidR="00BD126F" w:rsidRPr="00BD3E5A" w:rsidRDefault="00BD126F" w:rsidP="008C1D66">
      <w:pPr>
        <w:ind w:left="720" w:hanging="360"/>
        <w:rPr>
          <w:szCs w:val="22"/>
        </w:rPr>
      </w:pPr>
      <w:r w:rsidRPr="00BD3E5A">
        <w:rPr>
          <w:szCs w:val="22"/>
        </w:rPr>
        <w:t xml:space="preserve">b.  </w:t>
      </w:r>
      <w:r w:rsidRPr="008C1D66">
        <w:rPr>
          <w:b/>
          <w:szCs w:val="22"/>
        </w:rPr>
        <w:t>Chronobiology:  Biological Timekeeping</w:t>
      </w:r>
      <w:r w:rsidRPr="00BD3E5A">
        <w:rPr>
          <w:szCs w:val="22"/>
        </w:rPr>
        <w:t xml:space="preserve">, 382 pages, 278 illustrations, ISBN 0-87893-149-X.  Jay C. Dunlap, Jennifer J. Loros, and P. J. DeCoursey, April 2003, Sinauer Associates. At the time, it was the first textbook on circadian biology to be published in 18 years and the first to embrace the genetic and molecular era. </w:t>
      </w:r>
      <w:r w:rsidR="008C1D66">
        <w:rPr>
          <w:szCs w:val="22"/>
        </w:rPr>
        <w:t xml:space="preserve"> Royalties were donated to the Society for Research on Biological Rhythms.</w:t>
      </w:r>
    </w:p>
    <w:p w14:paraId="5E3AC154" w14:textId="77777777" w:rsidR="00BD126F" w:rsidRPr="00BD3E5A" w:rsidRDefault="00BD126F" w:rsidP="00BD126F">
      <w:pPr>
        <w:rPr>
          <w:szCs w:val="22"/>
        </w:rPr>
      </w:pPr>
    </w:p>
    <w:p w14:paraId="0F17905B" w14:textId="73194719" w:rsidR="00BD126F" w:rsidRDefault="00BD126F" w:rsidP="00BD126F">
      <w:pPr>
        <w:rPr>
          <w:szCs w:val="22"/>
        </w:rPr>
      </w:pPr>
      <w:r w:rsidRPr="00BD3E5A">
        <w:rPr>
          <w:szCs w:val="22"/>
        </w:rPr>
        <w:t xml:space="preserve">  2.   </w:t>
      </w:r>
      <w:r w:rsidR="001B1466" w:rsidRPr="001B1466">
        <w:rPr>
          <w:b/>
          <w:szCs w:val="22"/>
        </w:rPr>
        <w:t>Clock</w:t>
      </w:r>
      <w:r w:rsidR="001B1466">
        <w:rPr>
          <w:szCs w:val="22"/>
        </w:rPr>
        <w:t xml:space="preserve"> </w:t>
      </w:r>
      <w:r w:rsidRPr="00BD3E5A">
        <w:rPr>
          <w:b/>
          <w:szCs w:val="22"/>
        </w:rPr>
        <w:t>Mechanism:</w:t>
      </w:r>
      <w:r w:rsidRPr="00BD3E5A">
        <w:rPr>
          <w:szCs w:val="22"/>
        </w:rPr>
        <w:t xml:space="preserve"> Work on core mechanism comprises a major aspect of my work.  We are credited with cloning the second clock gene to be cloned, </w:t>
      </w:r>
      <w:r w:rsidRPr="00BD3E5A">
        <w:rPr>
          <w:i/>
          <w:szCs w:val="22"/>
        </w:rPr>
        <w:t>frq</w:t>
      </w:r>
      <w:r w:rsidRPr="00BD3E5A">
        <w:rPr>
          <w:szCs w:val="22"/>
        </w:rPr>
        <w:t xml:space="preserve"> (1986, just after Drosophila </w:t>
      </w:r>
      <w:r w:rsidRPr="00BD3E5A">
        <w:rPr>
          <w:i/>
          <w:szCs w:val="22"/>
        </w:rPr>
        <w:t>per</w:t>
      </w:r>
      <w:r w:rsidRPr="00BD3E5A">
        <w:rPr>
          <w:szCs w:val="22"/>
        </w:rPr>
        <w:t>); with proving (as distinct from proposing) that the core oscillator requires negative feedback and autoregulation of/by the products of clock genes (1994); first identifying PAS:PAS heterodimers as transcriptional activators in the core circadian oscillator and providing the first correct model of a single step negative feedback loop directly connecting activation and repression (both 1997); demonstrating contemporaneous with animal circadian researchers the importance of phosphorylation of clock proteins and the existence of interconnected feedback loo</w:t>
      </w:r>
      <w:r w:rsidR="00D05EAA">
        <w:rPr>
          <w:szCs w:val="22"/>
        </w:rPr>
        <w:t>ps surrounding the core (2000);</w:t>
      </w:r>
      <w:r w:rsidRPr="00BD3E5A">
        <w:rPr>
          <w:szCs w:val="22"/>
        </w:rPr>
        <w:t xml:space="preserve"> providing the 1</w:t>
      </w:r>
      <w:r w:rsidRPr="00BD3E5A">
        <w:rPr>
          <w:szCs w:val="22"/>
          <w:vertAlign w:val="superscript"/>
        </w:rPr>
        <w:t>st</w:t>
      </w:r>
      <w:r w:rsidRPr="00BD3E5A">
        <w:rPr>
          <w:szCs w:val="22"/>
        </w:rPr>
        <w:t xml:space="preserve"> mechanistic entre to temperature compensation (2009); demonstrating that the core feedback loops closes through phosphorylation-mediated inactivation of negative elements rather than through phosphorylation-mediated turnover of those elements (2015).</w:t>
      </w:r>
    </w:p>
    <w:p w14:paraId="58008091" w14:textId="77777777" w:rsidR="008C1D66" w:rsidRPr="00BD3E5A" w:rsidRDefault="008C1D66" w:rsidP="00BD126F">
      <w:pPr>
        <w:rPr>
          <w:szCs w:val="22"/>
        </w:rPr>
      </w:pPr>
    </w:p>
    <w:p w14:paraId="1609A88F" w14:textId="77777777" w:rsidR="00BD126F" w:rsidRPr="00BD3E5A" w:rsidRDefault="00BD126F" w:rsidP="00FB1A25">
      <w:pPr>
        <w:ind w:left="720" w:hanging="360"/>
        <w:rPr>
          <w:szCs w:val="22"/>
        </w:rPr>
      </w:pPr>
      <w:r w:rsidRPr="00BD3E5A">
        <w:rPr>
          <w:szCs w:val="22"/>
        </w:rPr>
        <w:t xml:space="preserve">a. Aronson, B., Johnson, K., J.J. Loros, and </w:t>
      </w:r>
      <w:r w:rsidRPr="00BD3E5A">
        <w:rPr>
          <w:b/>
          <w:szCs w:val="22"/>
        </w:rPr>
        <w:t>Jay C. Dunlap</w:t>
      </w:r>
      <w:r w:rsidRPr="00BD3E5A">
        <w:rPr>
          <w:szCs w:val="22"/>
        </w:rPr>
        <w:t xml:space="preserve">.  1994.  Negative Feedback Defining a Circadian Clock:  Autoregulation of the Clock Gene </w:t>
      </w:r>
      <w:r w:rsidRPr="00BD3E5A">
        <w:rPr>
          <w:i/>
          <w:szCs w:val="22"/>
        </w:rPr>
        <w:t>frequency</w:t>
      </w:r>
      <w:r w:rsidRPr="00BD3E5A">
        <w:rPr>
          <w:szCs w:val="22"/>
        </w:rPr>
        <w:t xml:space="preserve">, </w:t>
      </w:r>
      <w:r w:rsidRPr="00BD3E5A">
        <w:rPr>
          <w:b/>
          <w:szCs w:val="22"/>
        </w:rPr>
        <w:t xml:space="preserve">Science, </w:t>
      </w:r>
      <w:r w:rsidRPr="00BD3E5A">
        <w:rPr>
          <w:szCs w:val="22"/>
        </w:rPr>
        <w:t>263, 1578 – 1584</w:t>
      </w:r>
      <w:r w:rsidRPr="00BD3E5A">
        <w:rPr>
          <w:b/>
          <w:szCs w:val="22"/>
        </w:rPr>
        <w:t>.</w:t>
      </w:r>
    </w:p>
    <w:p w14:paraId="0B9443F4" w14:textId="77777777" w:rsidR="00BD126F" w:rsidRPr="00BD3E5A" w:rsidRDefault="00BD126F" w:rsidP="00FB1A25">
      <w:pPr>
        <w:ind w:left="720" w:hanging="360"/>
        <w:rPr>
          <w:szCs w:val="22"/>
        </w:rPr>
      </w:pPr>
      <w:r w:rsidRPr="00BD3E5A">
        <w:rPr>
          <w:szCs w:val="22"/>
        </w:rPr>
        <w:t xml:space="preserve">b. Crosthwaite, S., </w:t>
      </w:r>
      <w:r w:rsidRPr="00BD3E5A">
        <w:rPr>
          <w:b/>
          <w:szCs w:val="22"/>
        </w:rPr>
        <w:t>Dunlap, Jay C. and J. J. Loros</w:t>
      </w:r>
      <w:r w:rsidRPr="00BD3E5A">
        <w:rPr>
          <w:szCs w:val="22"/>
        </w:rPr>
        <w:t xml:space="preserve">.  1997. Neurospora </w:t>
      </w:r>
      <w:r w:rsidRPr="00BD3E5A">
        <w:rPr>
          <w:i/>
          <w:szCs w:val="22"/>
        </w:rPr>
        <w:t>wc-1</w:t>
      </w:r>
      <w:r w:rsidRPr="00BD3E5A">
        <w:rPr>
          <w:szCs w:val="22"/>
        </w:rPr>
        <w:t xml:space="preserve"> and </w:t>
      </w:r>
      <w:r w:rsidRPr="00BD3E5A">
        <w:rPr>
          <w:i/>
          <w:szCs w:val="22"/>
        </w:rPr>
        <w:t>wc-2</w:t>
      </w:r>
      <w:r w:rsidRPr="00BD3E5A">
        <w:rPr>
          <w:szCs w:val="22"/>
        </w:rPr>
        <w:t xml:space="preserve">:  Transcription, Photoresponses, and the Origins of Circadian Rhythmicity.  </w:t>
      </w:r>
      <w:r w:rsidRPr="00BD3E5A">
        <w:rPr>
          <w:b/>
          <w:szCs w:val="22"/>
        </w:rPr>
        <w:t>Science</w:t>
      </w:r>
      <w:r w:rsidRPr="00BD3E5A">
        <w:rPr>
          <w:szCs w:val="22"/>
        </w:rPr>
        <w:t xml:space="preserve"> 276, 763 - 769.</w:t>
      </w:r>
    </w:p>
    <w:p w14:paraId="51FF9E7D" w14:textId="77777777" w:rsidR="00BD126F" w:rsidRPr="00BD3E5A" w:rsidRDefault="00BD126F" w:rsidP="00FB1A25">
      <w:pPr>
        <w:ind w:left="720" w:hanging="360"/>
        <w:rPr>
          <w:szCs w:val="22"/>
        </w:rPr>
      </w:pPr>
      <w:r w:rsidRPr="00BD3E5A">
        <w:rPr>
          <w:szCs w:val="22"/>
        </w:rPr>
        <w:t>c.</w:t>
      </w:r>
      <w:r w:rsidRPr="00BD3E5A">
        <w:rPr>
          <w:color w:val="000000"/>
          <w:szCs w:val="22"/>
        </w:rPr>
        <w:t xml:space="preserve"> Mehra A, Shi M, Baker, C.L., Colot, H. V., Loros JJ, Dunlap JC. 2009. A role for Casein Kinase 2 in the mechanism underlying circadian temperature compensation in Neurospora. </w:t>
      </w:r>
      <w:r w:rsidRPr="00BD3E5A">
        <w:rPr>
          <w:b/>
          <w:color w:val="000000"/>
          <w:szCs w:val="22"/>
        </w:rPr>
        <w:t>Cell</w:t>
      </w:r>
      <w:r w:rsidRPr="00BD3E5A">
        <w:rPr>
          <w:color w:val="000000"/>
          <w:szCs w:val="22"/>
        </w:rPr>
        <w:t xml:space="preserve"> 137:  749 – 760.</w:t>
      </w:r>
    </w:p>
    <w:p w14:paraId="566FF9C0" w14:textId="77777777" w:rsidR="00BD126F" w:rsidRPr="00BD3E5A" w:rsidRDefault="00BD126F" w:rsidP="00FB1A25">
      <w:pPr>
        <w:ind w:left="720" w:hanging="360"/>
        <w:rPr>
          <w:rStyle w:val="slug-doi"/>
          <w:iCs/>
          <w:szCs w:val="22"/>
        </w:rPr>
      </w:pPr>
      <w:r w:rsidRPr="00BD3E5A">
        <w:rPr>
          <w:szCs w:val="22"/>
        </w:rPr>
        <w:t xml:space="preserve">d. Larrondo, L. L., Olivares-Yañez, C., Baker, C. L., Loros, J. J., and Dunlap, J. C. 2015.  Decoupling circadian clock protein turnover from circadian period determination.  </w:t>
      </w:r>
      <w:r w:rsidRPr="00BD3E5A">
        <w:rPr>
          <w:b/>
          <w:szCs w:val="22"/>
        </w:rPr>
        <w:t>Science</w:t>
      </w:r>
      <w:r w:rsidRPr="00BD3E5A">
        <w:rPr>
          <w:szCs w:val="22"/>
        </w:rPr>
        <w:t xml:space="preserve"> 347:  476-477 AND </w:t>
      </w:r>
      <w:r w:rsidRPr="00BD3E5A">
        <w:rPr>
          <w:rStyle w:val="HTMLCite"/>
          <w:szCs w:val="22"/>
        </w:rPr>
        <w:t xml:space="preserve">DOI: </w:t>
      </w:r>
      <w:r w:rsidRPr="00BD3E5A">
        <w:rPr>
          <w:rStyle w:val="slug-doi"/>
          <w:iCs/>
          <w:szCs w:val="22"/>
        </w:rPr>
        <w:t>10.1126/science.1257277</w:t>
      </w:r>
    </w:p>
    <w:p w14:paraId="20CD1A83" w14:textId="77777777" w:rsidR="00BD126F" w:rsidRPr="00BD3E5A" w:rsidRDefault="00BD126F" w:rsidP="00BD126F">
      <w:pPr>
        <w:ind w:left="990" w:hanging="450"/>
        <w:rPr>
          <w:rStyle w:val="slug-doi"/>
          <w:iCs/>
          <w:szCs w:val="22"/>
        </w:rPr>
      </w:pPr>
    </w:p>
    <w:p w14:paraId="777ECC4F" w14:textId="5410D80F" w:rsidR="00BD126F" w:rsidRDefault="00BD126F" w:rsidP="00BD126F">
      <w:pPr>
        <w:rPr>
          <w:szCs w:val="22"/>
        </w:rPr>
      </w:pPr>
      <w:r w:rsidRPr="00BD3E5A">
        <w:rPr>
          <w:szCs w:val="22"/>
        </w:rPr>
        <w:t xml:space="preserve">3.  </w:t>
      </w:r>
      <w:r w:rsidRPr="00BD3E5A">
        <w:rPr>
          <w:b/>
          <w:szCs w:val="22"/>
        </w:rPr>
        <w:t>Circadian Input</w:t>
      </w:r>
      <w:r w:rsidR="00514C7C">
        <w:rPr>
          <w:b/>
          <w:szCs w:val="22"/>
        </w:rPr>
        <w:t xml:space="preserve"> and Photobiology</w:t>
      </w:r>
      <w:r w:rsidRPr="00BD3E5A">
        <w:rPr>
          <w:szCs w:val="22"/>
        </w:rPr>
        <w:t>:  A defining characteristi</w:t>
      </w:r>
      <w:r w:rsidR="00D05EAA">
        <w:rPr>
          <w:szCs w:val="22"/>
        </w:rPr>
        <w:t xml:space="preserve">c of circadian systems is that, </w:t>
      </w:r>
      <w:r w:rsidRPr="00BD3E5A">
        <w:rPr>
          <w:szCs w:val="22"/>
        </w:rPr>
        <w:t>while their oscillation will continue in the absence of environmental cues, their phase (</w:t>
      </w:r>
      <w:r w:rsidR="00B96B50">
        <w:rPr>
          <w:szCs w:val="22"/>
        </w:rPr>
        <w:t xml:space="preserve">i.e. </w:t>
      </w:r>
      <w:r w:rsidRPr="00BD3E5A">
        <w:rPr>
          <w:szCs w:val="22"/>
        </w:rPr>
        <w:t xml:space="preserve">when peaks and troughs occur) must be able to be reset by environmental cues.  This is the whole basis of jet lag, and also </w:t>
      </w:r>
      <w:r w:rsidR="00B96B50">
        <w:rPr>
          <w:szCs w:val="22"/>
        </w:rPr>
        <w:t xml:space="preserve">of </w:t>
      </w:r>
      <w:r w:rsidRPr="00BD3E5A">
        <w:rPr>
          <w:szCs w:val="22"/>
        </w:rPr>
        <w:t>every organism’s ability to adapt to changing seasons</w:t>
      </w:r>
      <w:r w:rsidR="00B96B50">
        <w:rPr>
          <w:szCs w:val="22"/>
        </w:rPr>
        <w:t>. A</w:t>
      </w:r>
      <w:r w:rsidRPr="00BD3E5A">
        <w:rPr>
          <w:szCs w:val="22"/>
        </w:rPr>
        <w:t xml:space="preserve">nd, as this implies,  the phase (time of day) at which clock components peak defines aspects of their resetting mechanism.  Clearly it is impossible to do meaningful mechanistic work on input before any components are identified, but once the product of the </w:t>
      </w:r>
      <w:r w:rsidRPr="00BD3E5A">
        <w:rPr>
          <w:i/>
          <w:szCs w:val="22"/>
        </w:rPr>
        <w:t>frq</w:t>
      </w:r>
      <w:r w:rsidRPr="00BD3E5A">
        <w:rPr>
          <w:szCs w:val="22"/>
        </w:rPr>
        <w:t xml:space="preserve"> was proven to be</w:t>
      </w:r>
      <w:r w:rsidR="00B96B50">
        <w:rPr>
          <w:szCs w:val="22"/>
        </w:rPr>
        <w:t xml:space="preserve"> a c</w:t>
      </w:r>
      <w:r w:rsidRPr="00BD3E5A">
        <w:rPr>
          <w:szCs w:val="22"/>
        </w:rPr>
        <w:t>lock component and its amount in the cell a state variable of the oscillator (see above; Science, 1994)</w:t>
      </w:r>
      <w:r w:rsidR="00B96B50">
        <w:rPr>
          <w:szCs w:val="22"/>
        </w:rPr>
        <w:t>,</w:t>
      </w:r>
      <w:r w:rsidRPr="00BD3E5A">
        <w:rPr>
          <w:szCs w:val="22"/>
        </w:rPr>
        <w:t xml:space="preserve"> then we had a handle. Levels of </w:t>
      </w:r>
      <w:r w:rsidRPr="00BD3E5A">
        <w:rPr>
          <w:i/>
          <w:szCs w:val="22"/>
        </w:rPr>
        <w:t>frq</w:t>
      </w:r>
      <w:r>
        <w:rPr>
          <w:szCs w:val="22"/>
        </w:rPr>
        <w:t xml:space="preserve"> mR</w:t>
      </w:r>
      <w:r w:rsidRPr="00BD3E5A">
        <w:rPr>
          <w:szCs w:val="22"/>
        </w:rPr>
        <w:t xml:space="preserve">NA peak in the morning and we showed that the Neurospora clock is reset through acute induction of </w:t>
      </w:r>
      <w:r w:rsidRPr="00BD3E5A">
        <w:rPr>
          <w:i/>
          <w:szCs w:val="22"/>
        </w:rPr>
        <w:t>frq</w:t>
      </w:r>
      <w:r w:rsidR="00B96B50">
        <w:rPr>
          <w:szCs w:val="22"/>
        </w:rPr>
        <w:t xml:space="preserve"> transcription (1995).  </w:t>
      </w:r>
      <w:r w:rsidRPr="00BD3E5A">
        <w:rPr>
          <w:szCs w:val="22"/>
        </w:rPr>
        <w:t xml:space="preserve">In this article correctly predicted that the Drosophila clock, in which </w:t>
      </w:r>
      <w:r w:rsidRPr="00BD3E5A">
        <w:rPr>
          <w:i/>
          <w:szCs w:val="22"/>
        </w:rPr>
        <w:t>per</w:t>
      </w:r>
      <w:r w:rsidRPr="00BD3E5A">
        <w:rPr>
          <w:szCs w:val="22"/>
        </w:rPr>
        <w:t xml:space="preserve"> gene expression peaks at night, would be reset by light-activated turnover of PER.  Mammalian clocks are reset in the same way as Neurospora, through light-induction of clock genes (1997).  Temperature influences the amount  of FRQ at the level of translation, providing the 1st mechanism for temperature resetting. We identified the photoreceptor as WC-1, a dual-function protein that is also the circadian activator in the dark; it is the founding member of the family of proteins comprising the principal photoreceptors in the entire Kingdom of Fungi.</w:t>
      </w:r>
    </w:p>
    <w:p w14:paraId="6B9EA8D6" w14:textId="77777777" w:rsidR="008C1D66" w:rsidRPr="00BD3E5A" w:rsidRDefault="008C1D66" w:rsidP="00BD126F">
      <w:pPr>
        <w:rPr>
          <w:szCs w:val="22"/>
        </w:rPr>
      </w:pPr>
    </w:p>
    <w:p w14:paraId="5670DFCB" w14:textId="77777777" w:rsidR="00BD126F" w:rsidRPr="00BD3E5A" w:rsidRDefault="00BD126F" w:rsidP="00BD126F">
      <w:pPr>
        <w:ind w:left="720" w:hanging="360"/>
        <w:rPr>
          <w:szCs w:val="22"/>
        </w:rPr>
      </w:pPr>
      <w:r w:rsidRPr="00BD3E5A">
        <w:rPr>
          <w:szCs w:val="22"/>
        </w:rPr>
        <w:t xml:space="preserve">a.  Crosthwaite, S., Loros, J. J. and Jay C. Dunlap. 1995.  Light-Induced Resetting of a Circadian Clock is Mediated by a Rapid Increase in frequency  Transcript, </w:t>
      </w:r>
      <w:r w:rsidRPr="00BD3E5A">
        <w:rPr>
          <w:b/>
          <w:szCs w:val="22"/>
        </w:rPr>
        <w:t>Cell</w:t>
      </w:r>
      <w:r w:rsidRPr="00BD3E5A">
        <w:rPr>
          <w:szCs w:val="22"/>
        </w:rPr>
        <w:t xml:space="preserve"> 81, 1003 - 1012</w:t>
      </w:r>
    </w:p>
    <w:p w14:paraId="43465A91" w14:textId="77777777" w:rsidR="00BD126F" w:rsidRPr="00BD3E5A" w:rsidRDefault="00BD126F" w:rsidP="00BD126F">
      <w:pPr>
        <w:ind w:left="720" w:hanging="360"/>
        <w:rPr>
          <w:szCs w:val="22"/>
        </w:rPr>
      </w:pPr>
      <w:r w:rsidRPr="00BD3E5A">
        <w:rPr>
          <w:szCs w:val="22"/>
        </w:rPr>
        <w:lastRenderedPageBreak/>
        <w:t xml:space="preserve">b.  Shigeyoshi, Y., Taguchi, K., Yamamoto, S., Takeida, S., Yan, L., Tei, H., Moriya, S., Shibata, S., Loros, J. J. , Dunlap, J. C. and Okamura, H. 1997.  Light-induced Resetting of a Mammalian Circadian Clock is Associated with Rapid Induction of the </w:t>
      </w:r>
      <w:r w:rsidRPr="00BD3E5A">
        <w:rPr>
          <w:i/>
          <w:szCs w:val="22"/>
        </w:rPr>
        <w:t>mPer1</w:t>
      </w:r>
      <w:r w:rsidRPr="00BD3E5A">
        <w:rPr>
          <w:szCs w:val="22"/>
        </w:rPr>
        <w:t xml:space="preserve"> Transcript. </w:t>
      </w:r>
      <w:r w:rsidRPr="00BD3E5A">
        <w:rPr>
          <w:b/>
          <w:szCs w:val="22"/>
        </w:rPr>
        <w:t>Cell</w:t>
      </w:r>
      <w:r w:rsidRPr="00BD3E5A">
        <w:rPr>
          <w:szCs w:val="22"/>
        </w:rPr>
        <w:t xml:space="preserve"> 91, 1043 - 1053</w:t>
      </w:r>
    </w:p>
    <w:p w14:paraId="7D0D551F" w14:textId="77777777" w:rsidR="00BD126F" w:rsidRPr="00BD3E5A" w:rsidRDefault="00BD126F" w:rsidP="00BD126F">
      <w:pPr>
        <w:ind w:left="720" w:hanging="360"/>
        <w:rPr>
          <w:szCs w:val="22"/>
        </w:rPr>
      </w:pPr>
      <w:r w:rsidRPr="00BD3E5A">
        <w:rPr>
          <w:szCs w:val="22"/>
        </w:rPr>
        <w:t xml:space="preserve">c.  Liu, Y., Merrow, M., Loros, J. J. and Jay. C. Dunlap.  1998.  How Temperature Changes Reset a Circadian Oscillator, </w:t>
      </w:r>
      <w:r w:rsidRPr="00BD3E5A">
        <w:rPr>
          <w:b/>
          <w:szCs w:val="22"/>
        </w:rPr>
        <w:t>Science</w:t>
      </w:r>
      <w:r w:rsidRPr="00BD3E5A">
        <w:rPr>
          <w:szCs w:val="22"/>
        </w:rPr>
        <w:t xml:space="preserve"> 281, 825 - 829.</w:t>
      </w:r>
    </w:p>
    <w:p w14:paraId="03878E69" w14:textId="77777777" w:rsidR="00BD126F" w:rsidRPr="00BD3E5A" w:rsidRDefault="00BD126F" w:rsidP="00BD126F">
      <w:pPr>
        <w:ind w:left="720" w:hanging="360"/>
        <w:rPr>
          <w:szCs w:val="22"/>
        </w:rPr>
      </w:pPr>
      <w:r w:rsidRPr="00BD3E5A">
        <w:rPr>
          <w:szCs w:val="22"/>
        </w:rPr>
        <w:t xml:space="preserve">d.  Froehlich A. C., Liu, Y., Loros, J. J., and Dunlap J.C. 2002.  White Collar-1, a circadian blue light photoreceptor, binding to the </w:t>
      </w:r>
      <w:r w:rsidRPr="00BD3E5A">
        <w:rPr>
          <w:i/>
          <w:szCs w:val="22"/>
        </w:rPr>
        <w:t>frequency</w:t>
      </w:r>
      <w:r w:rsidRPr="00BD3E5A">
        <w:rPr>
          <w:szCs w:val="22"/>
        </w:rPr>
        <w:t xml:space="preserve"> promoter.  </w:t>
      </w:r>
      <w:r w:rsidRPr="00BD3E5A">
        <w:rPr>
          <w:b/>
          <w:szCs w:val="22"/>
        </w:rPr>
        <w:t>Science</w:t>
      </w:r>
      <w:r w:rsidRPr="00BD3E5A">
        <w:rPr>
          <w:szCs w:val="22"/>
        </w:rPr>
        <w:t xml:space="preserve"> 297, 815-819.</w:t>
      </w:r>
    </w:p>
    <w:p w14:paraId="026F0746" w14:textId="77777777" w:rsidR="00BD126F" w:rsidRPr="00BD3E5A" w:rsidRDefault="00BD126F" w:rsidP="00BD126F">
      <w:pPr>
        <w:rPr>
          <w:szCs w:val="22"/>
        </w:rPr>
      </w:pPr>
    </w:p>
    <w:p w14:paraId="7876B396" w14:textId="35CE9BE3" w:rsidR="00BD126F" w:rsidRDefault="00BD126F" w:rsidP="00BD126F">
      <w:pPr>
        <w:rPr>
          <w:szCs w:val="22"/>
        </w:rPr>
      </w:pPr>
      <w:r w:rsidRPr="00BD3E5A">
        <w:rPr>
          <w:szCs w:val="22"/>
        </w:rPr>
        <w:t xml:space="preserve">4.  </w:t>
      </w:r>
      <w:r w:rsidRPr="00BD3E5A">
        <w:rPr>
          <w:b/>
          <w:szCs w:val="22"/>
        </w:rPr>
        <w:t>Technical and methodological Innovation</w:t>
      </w:r>
      <w:r w:rsidRPr="00BD3E5A">
        <w:rPr>
          <w:szCs w:val="22"/>
        </w:rPr>
        <w:t>:   While information and knowledge are advanced through experimentation, experimentation is advanced through technological innovation.  As my lab grew in size it was plain that we needed to assume mo</w:t>
      </w:r>
      <w:r w:rsidR="00B96B50">
        <w:rPr>
          <w:szCs w:val="22"/>
        </w:rPr>
        <w:t>re responsibility for this.  Our</w:t>
      </w:r>
      <w:r w:rsidRPr="00BD3E5A">
        <w:rPr>
          <w:szCs w:val="22"/>
        </w:rPr>
        <w:t xml:space="preserve"> initial contribution (1991) was the first gene replacement strategy for Neurospora (or filamentous fungi), and later when in part through our hard fund-raising work Neurospora became the first filamentous fungus to have its genome sequenced (2002), we went back and perfected </w:t>
      </w:r>
      <w:r w:rsidR="00B96B50">
        <w:rPr>
          <w:szCs w:val="22"/>
        </w:rPr>
        <w:t>gene replacements</w:t>
      </w:r>
      <w:r w:rsidRPr="00BD3E5A">
        <w:rPr>
          <w:szCs w:val="22"/>
        </w:rPr>
        <w:t xml:space="preserve"> so that now we can do replacements within two weeks with &gt;98% accuracy; essential genes are </w:t>
      </w:r>
      <w:r w:rsidR="00B96B50">
        <w:rPr>
          <w:szCs w:val="22"/>
        </w:rPr>
        <w:t xml:space="preserve">also </w:t>
      </w:r>
      <w:r w:rsidRPr="00BD3E5A">
        <w:rPr>
          <w:szCs w:val="22"/>
        </w:rPr>
        <w:t>sheltered (2006).  Using this we spearheaded the effort to knock out all ~10,000 genes in the genome.  These knockouts are all deposited in the Fugal Gen</w:t>
      </w:r>
      <w:r w:rsidR="00B96B50">
        <w:rPr>
          <w:szCs w:val="22"/>
        </w:rPr>
        <w:t>etics Stock Center and comprise</w:t>
      </w:r>
      <w:r w:rsidRPr="00BD3E5A">
        <w:rPr>
          <w:szCs w:val="22"/>
        </w:rPr>
        <w:t xml:space="preserve"> a resource that has seen tremendous use.  We also spearheaded construction of a high density SNP map.  Lastly we tamed luciferase for Neurospora by addressing codon bias and thereby increasing expression by 4-5 log orders (!).  This has revolutionized analysis of circadian gene expression and allowed correction of several errors in the literature resulting from conflation of circadian output with core oscillator function.</w:t>
      </w:r>
      <w:r w:rsidR="00514C7C">
        <w:rPr>
          <w:szCs w:val="22"/>
        </w:rPr>
        <w:t xml:space="preserve">  Recently we have also begun work on the fungal pathogen Aspergillus fumigatus, both describing its photobiology and a widely used method for gene manipulations using CRISPR.</w:t>
      </w:r>
    </w:p>
    <w:p w14:paraId="40C0117A" w14:textId="77777777" w:rsidR="008C1D66" w:rsidRPr="00BD3E5A" w:rsidRDefault="008C1D66" w:rsidP="00BD126F">
      <w:pPr>
        <w:rPr>
          <w:szCs w:val="22"/>
        </w:rPr>
      </w:pPr>
    </w:p>
    <w:p w14:paraId="7CD4734F" w14:textId="77777777" w:rsidR="00BD126F" w:rsidRPr="00BD3E5A" w:rsidRDefault="00BD126F" w:rsidP="00BD1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360"/>
        <w:rPr>
          <w:szCs w:val="22"/>
        </w:rPr>
      </w:pPr>
      <w:r w:rsidRPr="00BD3E5A">
        <w:rPr>
          <w:szCs w:val="22"/>
        </w:rPr>
        <w:t xml:space="preserve">a. Colot H.V., Park, G., Turner G.E., Ringelberg C., Crew C.M., Litvinkova L., Weiss R.L., Borkovich K.A., Dunlap J. C.  2006. A high-throughput gene knockout procedure for Neurospora reveals functions for multiple transcription factors.  </w:t>
      </w:r>
      <w:r w:rsidRPr="00BD3E5A">
        <w:rPr>
          <w:b/>
          <w:szCs w:val="22"/>
        </w:rPr>
        <w:t>Proc Natl Acad Sci U S A.</w:t>
      </w:r>
      <w:r w:rsidRPr="00BD3E5A">
        <w:rPr>
          <w:szCs w:val="22"/>
        </w:rPr>
        <w:t xml:space="preserve"> 103:10352-10357. </w:t>
      </w:r>
    </w:p>
    <w:p w14:paraId="7D588B2B" w14:textId="67AE11E1" w:rsidR="00BD126F" w:rsidRPr="00BD3E5A" w:rsidRDefault="00BD126F" w:rsidP="00BD126F">
      <w:pPr>
        <w:widowControl w:val="0"/>
        <w:adjustRightInd w:val="0"/>
        <w:ind w:left="720" w:hanging="360"/>
        <w:rPr>
          <w:szCs w:val="22"/>
        </w:rPr>
      </w:pPr>
      <w:r w:rsidRPr="00BD3E5A">
        <w:rPr>
          <w:szCs w:val="22"/>
        </w:rPr>
        <w:t>b. Dunlap, J. C.,</w:t>
      </w:r>
      <w:r w:rsidRPr="00514C7C">
        <w:rPr>
          <w:i/>
          <w:szCs w:val="22"/>
        </w:rPr>
        <w:t xml:space="preserve"> </w:t>
      </w:r>
      <w:r w:rsidR="00514C7C" w:rsidRPr="00514C7C">
        <w:rPr>
          <w:i/>
          <w:szCs w:val="22"/>
        </w:rPr>
        <w:t>et al.</w:t>
      </w:r>
      <w:r w:rsidRPr="00BD3E5A">
        <w:rPr>
          <w:szCs w:val="22"/>
        </w:rPr>
        <w:t xml:space="preserve"> 2007. Enabling a community to dissect an organism - Overview of The Neurospora Functional Genomics Project </w:t>
      </w:r>
      <w:r w:rsidRPr="00BD3E5A">
        <w:rPr>
          <w:b/>
          <w:szCs w:val="22"/>
        </w:rPr>
        <w:t>Adv. Genetics</w:t>
      </w:r>
      <w:r w:rsidRPr="00BD3E5A">
        <w:rPr>
          <w:szCs w:val="22"/>
        </w:rPr>
        <w:t xml:space="preserve"> 57, 49 – 96.</w:t>
      </w:r>
    </w:p>
    <w:p w14:paraId="79F31CF3" w14:textId="5E4014B0" w:rsidR="00043196" w:rsidRDefault="00BD126F" w:rsidP="00A17838">
      <w:pPr>
        <w:tabs>
          <w:tab w:val="left" w:pos="720"/>
        </w:tabs>
        <w:ind w:left="810" w:hanging="450"/>
        <w:rPr>
          <w:szCs w:val="22"/>
        </w:rPr>
      </w:pPr>
      <w:r w:rsidRPr="00BD3E5A">
        <w:rPr>
          <w:szCs w:val="22"/>
        </w:rPr>
        <w:t xml:space="preserve">c. </w:t>
      </w:r>
      <w:r w:rsidRPr="00BD3E5A">
        <w:rPr>
          <w:color w:val="000000"/>
          <w:szCs w:val="22"/>
          <w:u w:color="0034CF"/>
        </w:rPr>
        <w:t>Gooch V, Mehra A, Larrondo L, Fox J, Touroutoutoudis M, Loros J, Dunlap J.C. 2008.</w:t>
      </w:r>
      <w:r w:rsidRPr="00BD3E5A">
        <w:rPr>
          <w:color w:val="000000"/>
          <w:szCs w:val="22"/>
        </w:rPr>
        <w:t xml:space="preserve"> Fully Codon-</w:t>
      </w:r>
      <w:r w:rsidRPr="00BD3E5A">
        <w:rPr>
          <w:szCs w:val="22"/>
        </w:rPr>
        <w:t xml:space="preserve">optimized luciferase Uncovers Novel Temperature Characteristics of the Neurospora Clock. </w:t>
      </w:r>
      <w:r w:rsidRPr="00BD3E5A">
        <w:rPr>
          <w:b/>
          <w:szCs w:val="22"/>
        </w:rPr>
        <w:t>Eukaryot</w:t>
      </w:r>
      <w:r w:rsidR="001B1466">
        <w:rPr>
          <w:b/>
          <w:szCs w:val="22"/>
        </w:rPr>
        <w:t>ic</w:t>
      </w:r>
      <w:r w:rsidRPr="00BD3E5A">
        <w:rPr>
          <w:b/>
          <w:szCs w:val="22"/>
        </w:rPr>
        <w:t xml:space="preserve"> Cell</w:t>
      </w:r>
      <w:r w:rsidRPr="00BD3E5A">
        <w:rPr>
          <w:szCs w:val="22"/>
        </w:rPr>
        <w:t xml:space="preserve"> 7:28-37.</w:t>
      </w:r>
    </w:p>
    <w:p w14:paraId="523F1CE5" w14:textId="5B668D23" w:rsidR="00514C7C" w:rsidRDefault="009206B0" w:rsidP="00A17838">
      <w:pPr>
        <w:tabs>
          <w:tab w:val="left" w:pos="720"/>
        </w:tabs>
        <w:ind w:left="810" w:hanging="450"/>
        <w:rPr>
          <w:szCs w:val="22"/>
        </w:rPr>
      </w:pPr>
      <w:r>
        <w:rPr>
          <w:noProof/>
        </w:rPr>
        <w:drawing>
          <wp:anchor distT="0" distB="0" distL="114300" distR="114300" simplePos="0" relativeHeight="251659264" behindDoc="0" locked="0" layoutInCell="1" allowOverlap="1" wp14:anchorId="4BEA6696" wp14:editId="08415275">
            <wp:simplePos x="0" y="0"/>
            <wp:positionH relativeFrom="column">
              <wp:posOffset>-12700</wp:posOffset>
            </wp:positionH>
            <wp:positionV relativeFrom="paragraph">
              <wp:posOffset>401955</wp:posOffset>
            </wp:positionV>
            <wp:extent cx="6539865" cy="8001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98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d.  Fuller, K.K., Chen, S., Loros, J.J., and Dunlap, J.C. 2015. Development of the CRISPR/Cas9 System for targeted Gene Disruptions in </w:t>
      </w:r>
      <w:r w:rsidRPr="009206B0">
        <w:rPr>
          <w:i/>
          <w:szCs w:val="22"/>
        </w:rPr>
        <w:t>Aspergillus fumigatus</w:t>
      </w:r>
      <w:r>
        <w:rPr>
          <w:szCs w:val="22"/>
        </w:rPr>
        <w:t xml:space="preserve">. </w:t>
      </w:r>
      <w:r w:rsidRPr="009206B0">
        <w:rPr>
          <w:b/>
          <w:szCs w:val="22"/>
        </w:rPr>
        <w:t>Eukaryotic Cell</w:t>
      </w:r>
      <w:r>
        <w:rPr>
          <w:szCs w:val="22"/>
        </w:rPr>
        <w:t xml:space="preserve"> 14: 1073-1080.</w:t>
      </w:r>
    </w:p>
    <w:p w14:paraId="7EAAA0F7" w14:textId="4621496C" w:rsidR="00043196" w:rsidRDefault="00A17838" w:rsidP="00043196">
      <w:pPr>
        <w:tabs>
          <w:tab w:val="left" w:pos="720"/>
        </w:tabs>
        <w:ind w:firstLine="90"/>
        <w:rPr>
          <w:szCs w:val="22"/>
        </w:rPr>
      </w:pPr>
      <w:r>
        <w:rPr>
          <w:szCs w:val="22"/>
        </w:rPr>
        <w:t>2</w:t>
      </w:r>
      <w:r w:rsidR="009206B0">
        <w:rPr>
          <w:szCs w:val="22"/>
        </w:rPr>
        <w:t>22</w:t>
      </w:r>
      <w:r w:rsidR="00043196">
        <w:rPr>
          <w:szCs w:val="22"/>
        </w:rPr>
        <w:t xml:space="preserve"> career publications</w:t>
      </w:r>
      <w:r w:rsidR="008C1D66">
        <w:rPr>
          <w:szCs w:val="22"/>
        </w:rPr>
        <w:t xml:space="preserve"> in total</w:t>
      </w:r>
      <w:r w:rsidR="00852CD7">
        <w:rPr>
          <w:szCs w:val="22"/>
        </w:rPr>
        <w:t xml:space="preserve">, </w:t>
      </w:r>
      <w:r w:rsidR="00A80286">
        <w:rPr>
          <w:szCs w:val="22"/>
        </w:rPr>
        <w:t>1</w:t>
      </w:r>
      <w:r>
        <w:rPr>
          <w:szCs w:val="22"/>
        </w:rPr>
        <w:t>93</w:t>
      </w:r>
      <w:r w:rsidR="00A80286">
        <w:rPr>
          <w:szCs w:val="22"/>
        </w:rPr>
        <w:t xml:space="preserve"> </w:t>
      </w:r>
      <w:r w:rsidR="00852CD7">
        <w:rPr>
          <w:szCs w:val="22"/>
        </w:rPr>
        <w:t>exclusive of edited bo</w:t>
      </w:r>
      <w:r w:rsidR="005741FF">
        <w:rPr>
          <w:szCs w:val="22"/>
        </w:rPr>
        <w:t>o</w:t>
      </w:r>
      <w:r w:rsidR="00852CD7">
        <w:rPr>
          <w:szCs w:val="22"/>
        </w:rPr>
        <w:t>ks</w:t>
      </w:r>
      <w:r w:rsidR="008C1D66">
        <w:rPr>
          <w:szCs w:val="22"/>
        </w:rPr>
        <w:t xml:space="preserve">.  </w:t>
      </w:r>
      <w:r w:rsidR="006B63A4">
        <w:rPr>
          <w:szCs w:val="22"/>
        </w:rPr>
        <w:t>Activity</w:t>
      </w:r>
      <w:r w:rsidR="008C1D66">
        <w:rPr>
          <w:szCs w:val="22"/>
        </w:rPr>
        <w:t xml:space="preserve"> within the past decade is </w:t>
      </w:r>
      <w:r w:rsidR="006B63A4">
        <w:rPr>
          <w:szCs w:val="22"/>
        </w:rPr>
        <w:t>seen</w:t>
      </w:r>
      <w:r w:rsidR="008C1D66">
        <w:rPr>
          <w:szCs w:val="22"/>
        </w:rPr>
        <w:t xml:space="preserve"> below.</w:t>
      </w:r>
    </w:p>
    <w:p w14:paraId="60287CA1" w14:textId="26354E97" w:rsidR="00FB1A25" w:rsidRDefault="006B63A4" w:rsidP="00852CD7">
      <w:r w:rsidRPr="006B63A4">
        <w:t xml:space="preserve"> </w:t>
      </w:r>
      <w:r w:rsidR="00FB1A25" w:rsidRPr="00673BC5">
        <w:t>Complete List of Published Work in MyBibliograph</w:t>
      </w:r>
      <w:r w:rsidR="00FB1A25">
        <w:t xml:space="preserve">y: </w:t>
      </w:r>
    </w:p>
    <w:p w14:paraId="575140DB" w14:textId="68338B3C" w:rsidR="00130500" w:rsidRPr="00A17838" w:rsidRDefault="00514C7C" w:rsidP="00852CD7">
      <w:pPr>
        <w:rPr>
          <w:sz w:val="20"/>
          <w:szCs w:val="20"/>
        </w:rPr>
      </w:pPr>
      <w:hyperlink r:id="rId12" w:history="1">
        <w:r w:rsidR="00130500" w:rsidRPr="00A17838">
          <w:rPr>
            <w:rStyle w:val="Hyperlink"/>
            <w:sz w:val="20"/>
            <w:szCs w:val="20"/>
          </w:rPr>
          <w:t>http://www.ncbi.nlm.nih.gov/sites/myncbi/jay.dunlap.1/bibliography/40810017/public/?sort=date&amp;direction=ascending</w:t>
        </w:r>
      </w:hyperlink>
    </w:p>
    <w:p w14:paraId="103833DA" w14:textId="77777777" w:rsidR="006E738B" w:rsidRDefault="006E738B" w:rsidP="00FB1A25"/>
    <w:p w14:paraId="4DF5C4C8" w14:textId="23071B4B" w:rsidR="00E67A05" w:rsidRPr="00A80286" w:rsidRDefault="00E67A05" w:rsidP="00FB1A25">
      <w:pPr>
        <w:rPr>
          <w:rFonts w:cs="Arial"/>
          <w:b/>
          <w:szCs w:val="22"/>
        </w:rPr>
      </w:pPr>
      <w:r w:rsidRPr="00A80286">
        <w:rPr>
          <w:rFonts w:cs="Arial"/>
          <w:b/>
          <w:szCs w:val="22"/>
        </w:rPr>
        <w:t>D.</w:t>
      </w:r>
      <w:r w:rsidRPr="00A80286">
        <w:rPr>
          <w:rFonts w:cs="Arial"/>
          <w:b/>
          <w:szCs w:val="22"/>
        </w:rPr>
        <w:tab/>
        <w:t>Research Support</w:t>
      </w:r>
    </w:p>
    <w:p w14:paraId="35DFD9A3" w14:textId="77777777" w:rsidR="008C1D66" w:rsidRPr="00852CD7" w:rsidRDefault="008C1D66" w:rsidP="008C1D66">
      <w:pPr>
        <w:pStyle w:val="Heading2"/>
        <w:rPr>
          <w:rFonts w:cs="Arial"/>
        </w:rPr>
      </w:pPr>
      <w:r w:rsidRPr="00852CD7">
        <w:rPr>
          <w:rFonts w:cs="Arial"/>
        </w:rPr>
        <w:t>Ongoing Research Support</w:t>
      </w:r>
    </w:p>
    <w:p w14:paraId="21BFDAB0" w14:textId="62D0D6BA" w:rsidR="006948F6" w:rsidRPr="00852CD7" w:rsidRDefault="006948F6" w:rsidP="006948F6">
      <w:pPr>
        <w:tabs>
          <w:tab w:val="left" w:pos="4320"/>
          <w:tab w:val="left" w:pos="7200"/>
        </w:tabs>
        <w:ind w:left="180" w:hanging="180"/>
        <w:rPr>
          <w:rFonts w:cs="Arial"/>
          <w:snapToGrid w:val="0"/>
          <w:color w:val="000000"/>
        </w:rPr>
      </w:pPr>
      <w:r w:rsidRPr="00852CD7">
        <w:rPr>
          <w:rFonts w:cs="Arial"/>
          <w:color w:val="000000"/>
        </w:rPr>
        <w:t>R</w:t>
      </w:r>
      <w:r w:rsidR="006B63A4">
        <w:rPr>
          <w:rFonts w:cs="Arial"/>
          <w:color w:val="000000"/>
        </w:rPr>
        <w:t>35</w:t>
      </w:r>
      <w:r w:rsidRPr="00852CD7">
        <w:rPr>
          <w:rFonts w:cs="Arial"/>
          <w:color w:val="000000"/>
        </w:rPr>
        <w:t xml:space="preserve"> GM</w:t>
      </w:r>
      <w:r w:rsidR="006B63A4">
        <w:rPr>
          <w:rFonts w:cs="Arial"/>
          <w:color w:val="000000"/>
        </w:rPr>
        <w:t>118021</w:t>
      </w:r>
      <w:r w:rsidRPr="00852CD7">
        <w:rPr>
          <w:rFonts w:cs="Arial"/>
          <w:color w:val="000000"/>
        </w:rPr>
        <w:tab/>
        <w:t xml:space="preserve"> Dunlap (PI)</w:t>
      </w:r>
      <w:r w:rsidRPr="00852CD7">
        <w:rPr>
          <w:rFonts w:cs="Arial"/>
          <w:color w:val="000000"/>
        </w:rPr>
        <w:tab/>
      </w:r>
      <w:r w:rsidR="00A17838">
        <w:rPr>
          <w:rFonts w:cs="Arial"/>
          <w:color w:val="000000"/>
        </w:rPr>
        <w:t>5/01/16</w:t>
      </w:r>
      <w:r w:rsidRPr="00852CD7">
        <w:rPr>
          <w:rFonts w:cs="Arial"/>
          <w:color w:val="000000"/>
        </w:rPr>
        <w:t>-</w:t>
      </w:r>
      <w:r w:rsidR="006B63A4">
        <w:rPr>
          <w:rFonts w:cs="Arial"/>
          <w:color w:val="000000"/>
        </w:rPr>
        <w:t>5</w:t>
      </w:r>
      <w:r w:rsidRPr="00852CD7">
        <w:rPr>
          <w:rFonts w:cs="Arial"/>
          <w:color w:val="000000"/>
        </w:rPr>
        <w:t>/30/</w:t>
      </w:r>
      <w:r w:rsidR="006B63A4">
        <w:rPr>
          <w:rFonts w:cs="Arial"/>
          <w:color w:val="000000"/>
        </w:rPr>
        <w:t>21</w:t>
      </w:r>
      <w:r w:rsidRPr="00852CD7">
        <w:rPr>
          <w:rFonts w:cs="Arial"/>
          <w:color w:val="000000"/>
        </w:rPr>
        <w:tab/>
      </w:r>
    </w:p>
    <w:p w14:paraId="58354856" w14:textId="77777777" w:rsidR="006948F6" w:rsidRPr="00852CD7" w:rsidRDefault="006948F6" w:rsidP="006948F6">
      <w:pPr>
        <w:tabs>
          <w:tab w:val="left" w:pos="4320"/>
          <w:tab w:val="left" w:pos="7200"/>
        </w:tabs>
        <w:ind w:left="180" w:hanging="180"/>
        <w:rPr>
          <w:rFonts w:cs="Arial"/>
          <w:color w:val="000000"/>
        </w:rPr>
      </w:pPr>
      <w:r w:rsidRPr="00852CD7">
        <w:rPr>
          <w:rFonts w:cs="Arial"/>
          <w:color w:val="000000"/>
        </w:rPr>
        <w:t xml:space="preserve">Genetic and Molecular Dissection of the </w:t>
      </w:r>
      <w:r w:rsidRPr="00852CD7">
        <w:rPr>
          <w:rFonts w:cs="Arial"/>
          <w:i/>
          <w:color w:val="000000"/>
        </w:rPr>
        <w:t xml:space="preserve">Neurospora </w:t>
      </w:r>
      <w:r w:rsidRPr="00852CD7">
        <w:rPr>
          <w:rFonts w:cs="Arial"/>
          <w:color w:val="000000"/>
        </w:rPr>
        <w:t xml:space="preserve"> Clock</w:t>
      </w:r>
    </w:p>
    <w:p w14:paraId="0F24E024" w14:textId="77777777" w:rsidR="006948F6" w:rsidRPr="00852CD7" w:rsidRDefault="006948F6" w:rsidP="006948F6">
      <w:pPr>
        <w:tabs>
          <w:tab w:val="left" w:pos="4320"/>
          <w:tab w:val="left" w:pos="7200"/>
        </w:tabs>
        <w:ind w:left="180" w:hanging="180"/>
        <w:rPr>
          <w:rFonts w:cs="Arial"/>
          <w:color w:val="000000"/>
        </w:rPr>
      </w:pPr>
      <w:r w:rsidRPr="00852CD7">
        <w:rPr>
          <w:rFonts w:cs="Arial"/>
          <w:color w:val="000000"/>
        </w:rPr>
        <w:t xml:space="preserve">  This effort has focused for the past 26 years on the molecular mechanism of eukaryotic circadian oscillators   and the means through which they are reset by environmental cues.</w:t>
      </w:r>
    </w:p>
    <w:p w14:paraId="20B9265B" w14:textId="09C083A6" w:rsidR="00C84F70" w:rsidRPr="006B63A4" w:rsidRDefault="006948F6" w:rsidP="006948F6">
      <w:pPr>
        <w:tabs>
          <w:tab w:val="left" w:pos="4320"/>
          <w:tab w:val="left" w:pos="7200"/>
        </w:tabs>
        <w:ind w:left="180" w:hanging="180"/>
        <w:rPr>
          <w:rFonts w:cs="Arial"/>
          <w:color w:val="000000"/>
        </w:rPr>
      </w:pPr>
      <w:r w:rsidRPr="00852CD7">
        <w:rPr>
          <w:rFonts w:cs="Arial"/>
          <w:color w:val="000000"/>
        </w:rPr>
        <w:t>Role: PI</w:t>
      </w:r>
    </w:p>
    <w:p w14:paraId="39872EE7" w14:textId="77777777" w:rsidR="006B63A4" w:rsidRDefault="006B63A4" w:rsidP="006948F6">
      <w:pPr>
        <w:tabs>
          <w:tab w:val="left" w:pos="4320"/>
          <w:tab w:val="left" w:pos="7200"/>
        </w:tabs>
        <w:ind w:left="180" w:hanging="180"/>
        <w:rPr>
          <w:rFonts w:cs="Arial"/>
          <w:color w:val="000000"/>
        </w:rPr>
      </w:pPr>
    </w:p>
    <w:p w14:paraId="15EE67F0" w14:textId="47BEE140" w:rsidR="006948F6" w:rsidRPr="00852CD7" w:rsidRDefault="006B63A4" w:rsidP="006948F6">
      <w:pPr>
        <w:tabs>
          <w:tab w:val="left" w:pos="4320"/>
          <w:tab w:val="left" w:pos="7200"/>
        </w:tabs>
        <w:ind w:left="180" w:hanging="180"/>
        <w:rPr>
          <w:rFonts w:cs="Arial"/>
          <w:color w:val="000000"/>
        </w:rPr>
      </w:pPr>
      <w:r>
        <w:rPr>
          <w:rFonts w:cs="Arial"/>
          <w:color w:val="000000"/>
        </w:rPr>
        <w:t>U</w:t>
      </w:r>
      <w:r w:rsidR="006948F6" w:rsidRPr="00852CD7">
        <w:rPr>
          <w:rFonts w:cs="Arial"/>
          <w:color w:val="000000"/>
        </w:rPr>
        <w:t xml:space="preserve">01 </w:t>
      </w:r>
      <w:r w:rsidRPr="006B63A4">
        <w:rPr>
          <w:rFonts w:cs="Arial"/>
          <w:bCs/>
          <w:szCs w:val="22"/>
        </w:rPr>
        <w:t>EB022546-01</w:t>
      </w:r>
      <w:r w:rsidR="006948F6" w:rsidRPr="00852CD7">
        <w:rPr>
          <w:rFonts w:cs="Arial"/>
          <w:color w:val="000000"/>
        </w:rPr>
        <w:tab/>
        <w:t>Dunlap (</w:t>
      </w:r>
      <w:r>
        <w:rPr>
          <w:rFonts w:cs="Arial"/>
          <w:color w:val="000000"/>
        </w:rPr>
        <w:t>co-</w:t>
      </w:r>
      <w:r w:rsidR="006948F6" w:rsidRPr="00852CD7">
        <w:rPr>
          <w:rFonts w:cs="Arial"/>
          <w:color w:val="000000"/>
        </w:rPr>
        <w:t>PI)</w:t>
      </w:r>
      <w:r w:rsidR="006948F6" w:rsidRPr="00852CD7">
        <w:rPr>
          <w:rFonts w:cs="Arial"/>
          <w:color w:val="000000"/>
        </w:rPr>
        <w:tab/>
      </w:r>
      <w:r w:rsidR="00514C7C">
        <w:rPr>
          <w:rFonts w:cs="Arial"/>
          <w:color w:val="000000"/>
        </w:rPr>
        <w:t>8/1/16-7-31-20</w:t>
      </w:r>
    </w:p>
    <w:p w14:paraId="7616235F" w14:textId="0FFB375B" w:rsidR="006948F6" w:rsidRPr="00852CD7" w:rsidRDefault="006948F6" w:rsidP="006948F6">
      <w:pPr>
        <w:tabs>
          <w:tab w:val="left" w:pos="4320"/>
          <w:tab w:val="left" w:pos="7200"/>
        </w:tabs>
        <w:ind w:left="180" w:hanging="180"/>
        <w:rPr>
          <w:rFonts w:cs="Arial"/>
          <w:color w:val="000000"/>
        </w:rPr>
      </w:pPr>
      <w:r w:rsidRPr="00852CD7">
        <w:rPr>
          <w:rFonts w:cs="Arial"/>
          <w:color w:val="000000"/>
        </w:rPr>
        <w:t xml:space="preserve">  </w:t>
      </w:r>
      <w:r w:rsidR="006B63A4">
        <w:rPr>
          <w:rFonts w:cs="Arial"/>
          <w:color w:val="000000"/>
        </w:rPr>
        <w:t>Multiscale Modeling of Circadian Rhythms</w:t>
      </w:r>
      <w:r w:rsidRPr="00852CD7">
        <w:rPr>
          <w:rFonts w:cs="Arial"/>
          <w:color w:val="000000"/>
        </w:rPr>
        <w:tab/>
      </w:r>
      <w:r w:rsidRPr="00852CD7">
        <w:rPr>
          <w:rFonts w:cs="Arial"/>
          <w:color w:val="000000"/>
        </w:rPr>
        <w:tab/>
      </w:r>
      <w:r w:rsidRPr="00852CD7">
        <w:rPr>
          <w:rFonts w:cs="Arial"/>
          <w:color w:val="000000"/>
        </w:rPr>
        <w:tab/>
      </w:r>
      <w:r w:rsidRPr="00852CD7">
        <w:rPr>
          <w:rFonts w:cs="Arial"/>
          <w:color w:val="000000"/>
        </w:rPr>
        <w:tab/>
      </w:r>
      <w:r w:rsidRPr="00852CD7">
        <w:rPr>
          <w:rFonts w:cs="Arial"/>
          <w:color w:val="000000"/>
        </w:rPr>
        <w:tab/>
      </w:r>
      <w:r w:rsidRPr="00852CD7">
        <w:rPr>
          <w:rFonts w:cs="Arial"/>
          <w:color w:val="000000"/>
        </w:rPr>
        <w:tab/>
      </w:r>
    </w:p>
    <w:p w14:paraId="2B55C36B" w14:textId="734D6BFF" w:rsidR="006948F6" w:rsidRPr="00852CD7" w:rsidRDefault="006948F6" w:rsidP="006948F6">
      <w:pPr>
        <w:tabs>
          <w:tab w:val="left" w:pos="4320"/>
          <w:tab w:val="left" w:pos="7200"/>
        </w:tabs>
        <w:ind w:left="180" w:hanging="180"/>
        <w:rPr>
          <w:rFonts w:cs="Arial"/>
          <w:color w:val="000000"/>
        </w:rPr>
      </w:pPr>
      <w:r w:rsidRPr="00852CD7">
        <w:rPr>
          <w:rFonts w:cs="Arial"/>
          <w:color w:val="000000"/>
        </w:rPr>
        <w:t xml:space="preserve">This </w:t>
      </w:r>
      <w:r w:rsidR="006B63A4">
        <w:rPr>
          <w:rFonts w:cs="Arial"/>
          <w:color w:val="000000"/>
        </w:rPr>
        <w:t xml:space="preserve">cooperative project (one modeler and computational biologist and one experimentalist) seeks to develop and populate a mathematical model of the circadian system of a cell, </w:t>
      </w:r>
      <w:r w:rsidR="0044461A">
        <w:rPr>
          <w:rFonts w:cs="Arial"/>
          <w:color w:val="000000"/>
        </w:rPr>
        <w:t>using coupled reaction theory</w:t>
      </w:r>
      <w:r w:rsidR="00A17838">
        <w:rPr>
          <w:rFonts w:cs="Arial"/>
          <w:color w:val="000000"/>
        </w:rPr>
        <w:t>.</w:t>
      </w:r>
    </w:p>
    <w:sectPr w:rsidR="006948F6" w:rsidRPr="00852CD7"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0B3B" w14:textId="77777777" w:rsidR="00514C7C" w:rsidRDefault="00514C7C">
      <w:r>
        <w:separator/>
      </w:r>
    </w:p>
  </w:endnote>
  <w:endnote w:type="continuationSeparator" w:id="0">
    <w:p w14:paraId="49EFA7D3" w14:textId="77777777" w:rsidR="00514C7C" w:rsidRDefault="0051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FB69" w14:textId="77777777" w:rsidR="00514C7C" w:rsidRDefault="00514C7C">
      <w:r>
        <w:separator/>
      </w:r>
    </w:p>
  </w:footnote>
  <w:footnote w:type="continuationSeparator" w:id="0">
    <w:p w14:paraId="40D2BABC" w14:textId="77777777" w:rsidR="00514C7C" w:rsidRDefault="00514C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001"/>
    <w:multiLevelType w:val="singleLevel"/>
    <w:tmpl w:val="00000000"/>
    <w:lvl w:ilvl="0">
      <w:start w:val="1998"/>
      <w:numFmt w:val="decimal"/>
      <w:lvlText w:val="%1"/>
      <w:lvlJc w:val="left"/>
      <w:pPr>
        <w:tabs>
          <w:tab w:val="num" w:pos="1440"/>
        </w:tabs>
        <w:ind w:left="1440" w:hanging="1440"/>
      </w:pPr>
      <w:rPr>
        <w:rFonts w:hint="default"/>
      </w:rPr>
    </w:lvl>
  </w:abstractNum>
  <w:abstractNum w:abstractNumId="11">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19"/>
  </w:num>
  <w:num w:numId="15">
    <w:abstractNumId w:val="17"/>
  </w:num>
  <w:num w:numId="16">
    <w:abstractNumId w:val="18"/>
  </w:num>
  <w:num w:numId="17">
    <w:abstractNumId w:val="11"/>
  </w:num>
  <w:num w:numId="18">
    <w:abstractNumId w:val="14"/>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3196"/>
    <w:rsid w:val="000464BA"/>
    <w:rsid w:val="00066A15"/>
    <w:rsid w:val="00067621"/>
    <w:rsid w:val="000A3D38"/>
    <w:rsid w:val="00122EB3"/>
    <w:rsid w:val="0012385A"/>
    <w:rsid w:val="00130500"/>
    <w:rsid w:val="00132CA6"/>
    <w:rsid w:val="0014571A"/>
    <w:rsid w:val="00153999"/>
    <w:rsid w:val="00170D87"/>
    <w:rsid w:val="00177D49"/>
    <w:rsid w:val="001B1466"/>
    <w:rsid w:val="002146D9"/>
    <w:rsid w:val="00236ADE"/>
    <w:rsid w:val="00240E97"/>
    <w:rsid w:val="00241711"/>
    <w:rsid w:val="0028051C"/>
    <w:rsid w:val="002D7520"/>
    <w:rsid w:val="002E5125"/>
    <w:rsid w:val="00310812"/>
    <w:rsid w:val="00321A19"/>
    <w:rsid w:val="0035045F"/>
    <w:rsid w:val="0037667F"/>
    <w:rsid w:val="00382AB6"/>
    <w:rsid w:val="00383712"/>
    <w:rsid w:val="003A769E"/>
    <w:rsid w:val="003B76D2"/>
    <w:rsid w:val="003C2647"/>
    <w:rsid w:val="003C3E83"/>
    <w:rsid w:val="003C62D6"/>
    <w:rsid w:val="003D2399"/>
    <w:rsid w:val="003E0CB3"/>
    <w:rsid w:val="003E1568"/>
    <w:rsid w:val="003F1CDD"/>
    <w:rsid w:val="003F6A45"/>
    <w:rsid w:val="00432346"/>
    <w:rsid w:val="0044461A"/>
    <w:rsid w:val="00447F3A"/>
    <w:rsid w:val="004759D9"/>
    <w:rsid w:val="0049068A"/>
    <w:rsid w:val="00490B01"/>
    <w:rsid w:val="004A10D0"/>
    <w:rsid w:val="004A3FC8"/>
    <w:rsid w:val="004E43E7"/>
    <w:rsid w:val="004E52B0"/>
    <w:rsid w:val="00503A1D"/>
    <w:rsid w:val="00503B57"/>
    <w:rsid w:val="005139D8"/>
    <w:rsid w:val="005145BB"/>
    <w:rsid w:val="00514C7C"/>
    <w:rsid w:val="00517BFD"/>
    <w:rsid w:val="0054471F"/>
    <w:rsid w:val="00547AC9"/>
    <w:rsid w:val="005741FF"/>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948F6"/>
    <w:rsid w:val="006A353C"/>
    <w:rsid w:val="006A3E7A"/>
    <w:rsid w:val="006A56FC"/>
    <w:rsid w:val="006B2D1C"/>
    <w:rsid w:val="006B63A4"/>
    <w:rsid w:val="006C1E1F"/>
    <w:rsid w:val="006E738B"/>
    <w:rsid w:val="007050F5"/>
    <w:rsid w:val="0071140F"/>
    <w:rsid w:val="00722C8F"/>
    <w:rsid w:val="007555C2"/>
    <w:rsid w:val="00781234"/>
    <w:rsid w:val="00785216"/>
    <w:rsid w:val="007B7AF3"/>
    <w:rsid w:val="008073EB"/>
    <w:rsid w:val="00812185"/>
    <w:rsid w:val="00817055"/>
    <w:rsid w:val="00843027"/>
    <w:rsid w:val="00852CD7"/>
    <w:rsid w:val="00874EBC"/>
    <w:rsid w:val="00875712"/>
    <w:rsid w:val="008C1D66"/>
    <w:rsid w:val="009054EA"/>
    <w:rsid w:val="009206B0"/>
    <w:rsid w:val="009211D3"/>
    <w:rsid w:val="00934124"/>
    <w:rsid w:val="009341D6"/>
    <w:rsid w:val="00952A27"/>
    <w:rsid w:val="009D7E97"/>
    <w:rsid w:val="009E52CA"/>
    <w:rsid w:val="009F72E5"/>
    <w:rsid w:val="00A04942"/>
    <w:rsid w:val="00A04B52"/>
    <w:rsid w:val="00A1469B"/>
    <w:rsid w:val="00A14EF5"/>
    <w:rsid w:val="00A17838"/>
    <w:rsid w:val="00A26D0F"/>
    <w:rsid w:val="00A42D9B"/>
    <w:rsid w:val="00A7514C"/>
    <w:rsid w:val="00A80286"/>
    <w:rsid w:val="00A8122C"/>
    <w:rsid w:val="00A83312"/>
    <w:rsid w:val="00A85606"/>
    <w:rsid w:val="00A93453"/>
    <w:rsid w:val="00AE41C4"/>
    <w:rsid w:val="00AE686E"/>
    <w:rsid w:val="00B07022"/>
    <w:rsid w:val="00B42C60"/>
    <w:rsid w:val="00B43BDB"/>
    <w:rsid w:val="00B929F5"/>
    <w:rsid w:val="00B96B50"/>
    <w:rsid w:val="00BD126F"/>
    <w:rsid w:val="00C00F42"/>
    <w:rsid w:val="00C05C55"/>
    <w:rsid w:val="00C076C6"/>
    <w:rsid w:val="00C137DA"/>
    <w:rsid w:val="00C15B07"/>
    <w:rsid w:val="00C3113F"/>
    <w:rsid w:val="00C4536F"/>
    <w:rsid w:val="00C46ADA"/>
    <w:rsid w:val="00C4739B"/>
    <w:rsid w:val="00C56C04"/>
    <w:rsid w:val="00C84F70"/>
    <w:rsid w:val="00C85025"/>
    <w:rsid w:val="00C918BD"/>
    <w:rsid w:val="00CA680A"/>
    <w:rsid w:val="00CE0951"/>
    <w:rsid w:val="00CF68A2"/>
    <w:rsid w:val="00D05EAA"/>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B1A25"/>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4">
    <w:name w:val="heading 4"/>
    <w:basedOn w:val="Normal"/>
    <w:next w:val="Normal"/>
    <w:link w:val="Heading4Char"/>
    <w:semiHidden/>
    <w:unhideWhenUsed/>
    <w:qFormat/>
    <w:rsid w:val="00B0702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customStyle="1" w:styleId="Heading4Char">
    <w:name w:val="Heading 4 Char"/>
    <w:basedOn w:val="DefaultParagraphFont"/>
    <w:link w:val="Heading4"/>
    <w:semiHidden/>
    <w:rsid w:val="00B07022"/>
    <w:rPr>
      <w:rFonts w:asciiTheme="majorHAnsi" w:eastAsiaTheme="majorEastAsia" w:hAnsiTheme="majorHAnsi" w:cstheme="majorBidi"/>
      <w:b/>
      <w:bCs/>
      <w:i/>
      <w:iCs/>
      <w:color w:val="5B9BD5" w:themeColor="accent1"/>
      <w:sz w:val="22"/>
      <w:szCs w:val="24"/>
    </w:rPr>
  </w:style>
  <w:style w:type="paragraph" w:styleId="BodyTextIndent2">
    <w:name w:val="Body Text Indent 2"/>
    <w:basedOn w:val="Normal"/>
    <w:link w:val="BodyTextIndent2Char"/>
    <w:rsid w:val="00B07022"/>
    <w:pPr>
      <w:spacing w:after="120" w:line="480" w:lineRule="auto"/>
      <w:ind w:left="360"/>
    </w:pPr>
  </w:style>
  <w:style w:type="character" w:customStyle="1" w:styleId="BodyTextIndent2Char">
    <w:name w:val="Body Text Indent 2 Char"/>
    <w:basedOn w:val="DefaultParagraphFont"/>
    <w:link w:val="BodyTextIndent2"/>
    <w:rsid w:val="00B07022"/>
    <w:rPr>
      <w:rFonts w:ascii="Arial" w:hAnsi="Arial"/>
      <w:sz w:val="22"/>
      <w:szCs w:val="24"/>
    </w:rPr>
  </w:style>
  <w:style w:type="character" w:styleId="HTMLCite">
    <w:name w:val="HTML Cite"/>
    <w:uiPriority w:val="99"/>
    <w:unhideWhenUsed/>
    <w:rsid w:val="00BD126F"/>
    <w:rPr>
      <w:i/>
      <w:iCs/>
    </w:rPr>
  </w:style>
  <w:style w:type="character" w:customStyle="1" w:styleId="slug-doi">
    <w:name w:val="slug-doi"/>
    <w:rsid w:val="00BD126F"/>
  </w:style>
  <w:style w:type="character" w:styleId="FollowedHyperlink">
    <w:name w:val="FollowedHyperlink"/>
    <w:basedOn w:val="DefaultParagraphFont"/>
    <w:rsid w:val="00A1783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4">
    <w:name w:val="heading 4"/>
    <w:basedOn w:val="Normal"/>
    <w:next w:val="Normal"/>
    <w:link w:val="Heading4Char"/>
    <w:semiHidden/>
    <w:unhideWhenUsed/>
    <w:qFormat/>
    <w:rsid w:val="00B0702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character" w:customStyle="1" w:styleId="Heading4Char">
    <w:name w:val="Heading 4 Char"/>
    <w:basedOn w:val="DefaultParagraphFont"/>
    <w:link w:val="Heading4"/>
    <w:semiHidden/>
    <w:rsid w:val="00B07022"/>
    <w:rPr>
      <w:rFonts w:asciiTheme="majorHAnsi" w:eastAsiaTheme="majorEastAsia" w:hAnsiTheme="majorHAnsi" w:cstheme="majorBidi"/>
      <w:b/>
      <w:bCs/>
      <w:i/>
      <w:iCs/>
      <w:color w:val="5B9BD5" w:themeColor="accent1"/>
      <w:sz w:val="22"/>
      <w:szCs w:val="24"/>
    </w:rPr>
  </w:style>
  <w:style w:type="paragraph" w:styleId="BodyTextIndent2">
    <w:name w:val="Body Text Indent 2"/>
    <w:basedOn w:val="Normal"/>
    <w:link w:val="BodyTextIndent2Char"/>
    <w:rsid w:val="00B07022"/>
    <w:pPr>
      <w:spacing w:after="120" w:line="480" w:lineRule="auto"/>
      <w:ind w:left="360"/>
    </w:pPr>
  </w:style>
  <w:style w:type="character" w:customStyle="1" w:styleId="BodyTextIndent2Char">
    <w:name w:val="Body Text Indent 2 Char"/>
    <w:basedOn w:val="DefaultParagraphFont"/>
    <w:link w:val="BodyTextIndent2"/>
    <w:rsid w:val="00B07022"/>
    <w:rPr>
      <w:rFonts w:ascii="Arial" w:hAnsi="Arial"/>
      <w:sz w:val="22"/>
      <w:szCs w:val="24"/>
    </w:rPr>
  </w:style>
  <w:style w:type="character" w:styleId="HTMLCite">
    <w:name w:val="HTML Cite"/>
    <w:uiPriority w:val="99"/>
    <w:unhideWhenUsed/>
    <w:rsid w:val="00BD126F"/>
    <w:rPr>
      <w:i/>
      <w:iCs/>
    </w:rPr>
  </w:style>
  <w:style w:type="character" w:customStyle="1" w:styleId="slug-doi">
    <w:name w:val="slug-doi"/>
    <w:rsid w:val="00BD126F"/>
  </w:style>
  <w:style w:type="character" w:styleId="FollowedHyperlink">
    <w:name w:val="FollowedHyperlink"/>
    <w:basedOn w:val="DefaultParagraphFont"/>
    <w:rsid w:val="00A17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ncbi.nlm.nih.gov/sites/myncbi/jay.dunlap.1/bibliography/40810017/public/?sort=date&amp;direction=ascend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2469</Words>
  <Characters>14075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16511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Jay Dunlap</cp:lastModifiedBy>
  <cp:revision>2</cp:revision>
  <cp:lastPrinted>2016-04-15T18:19:00Z</cp:lastPrinted>
  <dcterms:created xsi:type="dcterms:W3CDTF">2016-07-21T19:13:00Z</dcterms:created>
  <dcterms:modified xsi:type="dcterms:W3CDTF">2016-07-21T19:13:00Z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